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0BBAB">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17</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R4-2521750</w:t>
      </w:r>
      <w:bookmarkStart w:id="5" w:name="_GoBack"/>
      <w:bookmarkEnd w:id="5"/>
      <w:r>
        <w:rPr>
          <w:rFonts w:hint="eastAsia" w:ascii="Arial" w:hAnsi="Arial" w:cs="Arial"/>
          <w:b/>
          <w:sz w:val="24"/>
          <w:szCs w:val="24"/>
        </w:rPr>
        <w:t xml:space="preserve">                       </w:t>
      </w:r>
    </w:p>
    <w:p w14:paraId="63E99DA1">
      <w:pPr>
        <w:jc w:val="left"/>
        <w:rPr>
          <w:rFonts w:ascii="Arial" w:hAnsi="Arial" w:cs="Arial"/>
          <w:b/>
          <w:sz w:val="24"/>
          <w:szCs w:val="24"/>
          <w:lang w:val="en-GB" w:eastAsia="en-GB"/>
        </w:rPr>
      </w:pPr>
      <w:r>
        <w:rPr>
          <w:rFonts w:hint="eastAsia" w:ascii="Arial" w:hAnsi="Arial" w:cs="Arial"/>
          <w:b/>
          <w:sz w:val="24"/>
          <w:szCs w:val="24"/>
          <w:lang w:val="en-US" w:eastAsia="zh-CN"/>
        </w:rPr>
        <w:t>Dallas,</w:t>
      </w:r>
      <w:r>
        <w:rPr>
          <w:rFonts w:ascii="Arial" w:hAnsi="Arial" w:cs="Arial"/>
          <w:b/>
          <w:sz w:val="24"/>
          <w:szCs w:val="24"/>
        </w:rPr>
        <w:t xml:space="preserve"> </w:t>
      </w:r>
      <w:r>
        <w:rPr>
          <w:rFonts w:hint="eastAsia" w:ascii="Arial" w:hAnsi="Arial" w:cs="Arial"/>
          <w:b/>
          <w:sz w:val="24"/>
          <w:szCs w:val="24"/>
          <w:lang w:val="en-US" w:eastAsia="zh-CN"/>
        </w:rPr>
        <w:t>USA</w:t>
      </w:r>
      <w:r>
        <w:rPr>
          <w:rFonts w:hint="eastAsia" w:ascii="Arial" w:hAnsi="Arial" w:cs="Arial"/>
          <w:b/>
          <w:sz w:val="24"/>
          <w:szCs w:val="24"/>
        </w:rPr>
        <w:t>, 1</w:t>
      </w:r>
      <w:r>
        <w:rPr>
          <w:rFonts w:hint="eastAsia" w:ascii="Arial" w:hAnsi="Arial" w:cs="Arial"/>
          <w:b/>
          <w:sz w:val="24"/>
          <w:szCs w:val="24"/>
          <w:lang w:val="en-US" w:eastAsia="zh-CN"/>
        </w:rPr>
        <w:t>7</w:t>
      </w:r>
      <w:r>
        <w:rPr>
          <w:rFonts w:ascii="Arial" w:hAnsi="Arial" w:cs="Arial"/>
          <w:b/>
          <w:sz w:val="24"/>
          <w:szCs w:val="24"/>
        </w:rPr>
        <w:t>th</w:t>
      </w:r>
      <w:r>
        <w:rPr>
          <w:rFonts w:hint="eastAsia" w:ascii="Arial" w:hAnsi="Arial" w:cs="Arial"/>
          <w:b/>
          <w:sz w:val="24"/>
          <w:szCs w:val="24"/>
        </w:rPr>
        <w:t xml:space="preserve"> </w:t>
      </w:r>
      <w:r>
        <w:rPr>
          <w:rFonts w:ascii="Arial" w:hAnsi="Arial" w:cs="Arial"/>
          <w:b/>
          <w:sz w:val="24"/>
          <w:szCs w:val="24"/>
        </w:rPr>
        <w:t xml:space="preserve">– </w:t>
      </w:r>
      <w:r>
        <w:rPr>
          <w:rFonts w:hint="eastAsia" w:ascii="Arial" w:hAnsi="Arial" w:cs="Arial"/>
          <w:b/>
          <w:sz w:val="24"/>
          <w:szCs w:val="24"/>
          <w:lang w:val="en-US" w:eastAsia="zh-CN"/>
        </w:rPr>
        <w:t>21st</w:t>
      </w:r>
      <w:r>
        <w:rPr>
          <w:rFonts w:ascii="Arial" w:hAnsi="Arial" w:cs="Arial"/>
          <w:b/>
          <w:sz w:val="24"/>
          <w:szCs w:val="24"/>
        </w:rPr>
        <w:t xml:space="preserve">, </w:t>
      </w:r>
      <w:r>
        <w:rPr>
          <w:rFonts w:hint="eastAsia" w:ascii="Arial" w:hAnsi="Arial" w:cs="Arial"/>
          <w:b/>
          <w:sz w:val="24"/>
          <w:szCs w:val="24"/>
          <w:lang w:val="en-US" w:eastAsia="zh-CN"/>
        </w:rPr>
        <w:t>Nov</w:t>
      </w:r>
      <w:r>
        <w:rPr>
          <w:rFonts w:hint="eastAsia" w:ascii="Arial" w:hAnsi="Arial" w:cs="Arial"/>
          <w:b/>
          <w:sz w:val="24"/>
          <w:szCs w:val="24"/>
        </w:rPr>
        <w:t xml:space="preserve">. </w:t>
      </w:r>
      <w:r>
        <w:rPr>
          <w:rFonts w:ascii="Arial" w:hAnsi="Arial" w:cs="Arial"/>
          <w:b/>
          <w:sz w:val="24"/>
          <w:szCs w:val="24"/>
        </w:rPr>
        <w:t>202</w:t>
      </w:r>
      <w:r>
        <w:rPr>
          <w:rFonts w:hint="eastAsia" w:ascii="Arial" w:hAnsi="Arial" w:cs="Arial"/>
          <w:b/>
          <w:sz w:val="24"/>
          <w:szCs w:val="24"/>
        </w:rPr>
        <w:t>5</w:t>
      </w:r>
    </w:p>
    <w:p w14:paraId="23FEB4C3">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8.4.4</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734C9C6">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6GR U6GHz conformance testing</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035304E8">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w:t>
      </w:r>
      <w:r>
        <w:rPr>
          <w:rFonts w:hint="eastAsia"/>
          <w:sz w:val="20"/>
          <w:szCs w:val="20"/>
          <w:lang w:val="en-US" w:eastAsia="zh-CN"/>
        </w:rPr>
        <w:t>ment and agreements were captured in WF [8]. In this contribution, we would like to share some further understandings on 6GR U6GHz conformance testing.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3BEB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5E3AD121">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Objective:</w:t>
            </w:r>
          </w:p>
          <w:p w14:paraId="33BC40F9">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14:paraId="5681B370">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14:paraId="179F52AE">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14:paraId="250C8C04">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14:paraId="2439F39A">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14:paraId="55EF288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14:paraId="1230340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p w14:paraId="4DD08B32">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RAN4#1116bis agreement:</w:t>
            </w:r>
          </w:p>
          <w:p w14:paraId="49873A44">
            <w:pPr>
              <w:pStyle w:val="4"/>
              <w:suppressLineNumbers w:val="0"/>
              <w:spacing w:beforeAutospacing="0" w:afterAutospacing="0"/>
              <w:ind w:right="0"/>
              <w:rPr>
                <w:rFonts w:hint="default" w:ascii="Times New Roman" w:hAnsi="Times New Roman" w:cs="Times New Roman"/>
                <w:sz w:val="21"/>
                <w:szCs w:val="21"/>
              </w:rPr>
            </w:pPr>
            <w:r>
              <w:rPr>
                <w:rFonts w:hint="default" w:ascii="Times New Roman" w:hAnsi="Times New Roman" w:cs="Times New Roman"/>
                <w:sz w:val="21"/>
                <w:szCs w:val="21"/>
              </w:rPr>
              <w:t>Issue 1-1-1: Starting point</w:t>
            </w:r>
          </w:p>
          <w:p w14:paraId="49873A45">
            <w:pPr>
              <w:keepNext w:val="0"/>
              <w:keepLines w:val="0"/>
              <w:suppressLineNumbers w:val="0"/>
              <w:spacing w:before="0" w:beforeAutospacing="0" w:after="120" w:afterAutospacing="0"/>
              <w:ind w:left="0" w:right="0"/>
              <w:rPr>
                <w:rFonts w:hint="default"/>
                <w:b/>
                <w:bCs/>
                <w:szCs w:val="22"/>
                <w:lang w:val="zh-CN"/>
              </w:rPr>
            </w:pPr>
            <w:r>
              <w:rPr>
                <w:rFonts w:hint="default"/>
                <w:b/>
                <w:bCs/>
                <w:szCs w:val="22"/>
                <w:lang w:val="zh-CN"/>
              </w:rPr>
              <w:t xml:space="preserve">Agreement: </w:t>
            </w:r>
          </w:p>
          <w:p w14:paraId="49873A46">
            <w:pPr>
              <w:keepNext w:val="0"/>
              <w:keepLines w:val="0"/>
              <w:suppressLineNumbers w:val="0"/>
              <w:spacing w:before="0" w:beforeAutospacing="0" w:after="120" w:afterAutospacing="0"/>
              <w:ind w:left="0" w:right="0" w:firstLine="284"/>
              <w:rPr>
                <w:rFonts w:hint="default"/>
                <w:szCs w:val="22"/>
                <w:lang w:val="en-US"/>
              </w:rPr>
            </w:pPr>
            <w:r>
              <w:rPr>
                <w:rFonts w:hint="default"/>
                <w:szCs w:val="22"/>
                <w:lang w:val="en-US"/>
              </w:rPr>
              <w:t>5G BS RF requirements should be considered as starting point when defining the 6G BS RF</w:t>
            </w:r>
            <w:r>
              <w:rPr>
                <w:rFonts w:hint="default"/>
                <w:szCs w:val="22"/>
                <w:lang w:val="en-US"/>
              </w:rPr>
              <w:tab/>
            </w:r>
            <w:r>
              <w:rPr>
                <w:rFonts w:hint="default"/>
                <w:szCs w:val="22"/>
                <w:lang w:val="en-US"/>
              </w:rPr>
              <w:t>requirements.</w:t>
            </w:r>
          </w:p>
          <w:p w14:paraId="49873A47">
            <w:pPr>
              <w:keepNext w:val="0"/>
              <w:keepLines w:val="0"/>
              <w:suppressLineNumbers w:val="0"/>
              <w:spacing w:before="0" w:beforeAutospacing="0" w:after="120" w:afterAutospacing="0"/>
              <w:ind w:left="0" w:right="0"/>
              <w:rPr>
                <w:rFonts w:hint="default" w:eastAsia="PMingLiU"/>
                <w:sz w:val="22"/>
                <w:szCs w:val="22"/>
                <w:lang w:val="en-US"/>
              </w:rPr>
            </w:pPr>
          </w:p>
          <w:p w14:paraId="49873A48">
            <w:pPr>
              <w:pStyle w:val="4"/>
              <w:suppressLineNumbers w:val="0"/>
              <w:spacing w:beforeAutospacing="0" w:afterAutospacing="0"/>
              <w:ind w:right="0"/>
              <w:rPr>
                <w:rFonts w:hint="default" w:ascii="Times New Roman" w:hAnsi="Times New Roman" w:cs="Times New Roman"/>
                <w:sz w:val="21"/>
                <w:szCs w:val="21"/>
                <w:lang w:val="en-US"/>
              </w:rPr>
            </w:pPr>
            <w:r>
              <w:rPr>
                <w:rFonts w:hint="default" w:ascii="Times New Roman" w:hAnsi="Times New Roman" w:cs="Times New Roman"/>
                <w:sz w:val="21"/>
                <w:szCs w:val="21"/>
                <w:lang w:val="en-US"/>
              </w:rPr>
              <w:t>Issue 1-1-2: Requirements to be re-assessed</w:t>
            </w:r>
          </w:p>
          <w:p w14:paraId="49873A49">
            <w:pPr>
              <w:keepNext w:val="0"/>
              <w:keepLines w:val="0"/>
              <w:suppressLineNumbers w:val="0"/>
              <w:spacing w:before="0" w:beforeAutospacing="0" w:after="120" w:afterAutospacing="0"/>
              <w:ind w:left="0" w:right="0"/>
              <w:rPr>
                <w:rFonts w:hint="default" w:eastAsia="Yu Mincho"/>
                <w:szCs w:val="22"/>
                <w:lang w:val="en-US"/>
              </w:rPr>
            </w:pPr>
            <w:r>
              <w:rPr>
                <w:rFonts w:hint="default" w:eastAsia="Yu Mincho"/>
                <w:b/>
                <w:bCs/>
                <w:szCs w:val="22"/>
                <w:lang w:val="en-US"/>
              </w:rPr>
              <w:t>Way Forward:</w:t>
            </w:r>
            <w:r>
              <w:rPr>
                <w:rFonts w:hint="default" w:eastAsia="Yu Mincho"/>
                <w:szCs w:val="22"/>
                <w:lang w:val="en-US"/>
              </w:rPr>
              <w:t xml:space="preserve"> </w:t>
            </w:r>
          </w:p>
          <w:p w14:paraId="49873A4A">
            <w:pPr>
              <w:keepNext w:val="0"/>
              <w:keepLines w:val="0"/>
              <w:suppressLineNumbers w:val="0"/>
              <w:spacing w:before="0" w:beforeAutospacing="0" w:after="120" w:afterAutospacing="0"/>
              <w:ind w:left="284" w:right="0"/>
              <w:rPr>
                <w:rFonts w:hint="default"/>
                <w:szCs w:val="22"/>
                <w:lang w:val="en-US"/>
              </w:rPr>
            </w:pPr>
            <w:r>
              <w:rPr>
                <w:rFonts w:hint="default"/>
                <w:szCs w:val="22"/>
                <w:lang w:val="en-US"/>
              </w:rPr>
              <w:t>For next meeting, companies are encouraged to evaluate how 5G BS RF requirements should be considered for 6G and provide their view using the table in Annex A as example.</w:t>
            </w:r>
          </w:p>
          <w:p w14:paraId="49873A4B">
            <w:pPr>
              <w:keepNext w:val="0"/>
              <w:keepLines w:val="0"/>
              <w:suppressLineNumbers w:val="0"/>
              <w:spacing w:before="0" w:beforeAutospacing="0" w:after="120" w:afterAutospacing="0"/>
              <w:ind w:left="284" w:right="0"/>
              <w:rPr>
                <w:rFonts w:hint="default"/>
                <w:szCs w:val="22"/>
                <w:lang w:val="en-US"/>
              </w:rPr>
            </w:pPr>
          </w:p>
          <w:p w14:paraId="49873A4C">
            <w:pPr>
              <w:keepNext w:val="0"/>
              <w:keepLines w:val="0"/>
              <w:suppressLineNumbers w:val="0"/>
              <w:spacing w:before="0" w:beforeAutospacing="0" w:after="60" w:afterAutospacing="0"/>
              <w:ind w:left="0" w:right="0"/>
              <w:rPr>
                <w:rFonts w:hint="default"/>
                <w:szCs w:val="22"/>
                <w:lang w:val="en-US"/>
              </w:rPr>
            </w:pPr>
            <w:r>
              <w:rPr>
                <w:rFonts w:hint="default"/>
                <w:szCs w:val="22"/>
                <w:lang w:val="en-US"/>
              </w:rPr>
              <w:t>Note: The goal is to identify:</w:t>
            </w:r>
          </w:p>
          <w:p w14:paraId="49873A4D">
            <w:pPr>
              <w:pStyle w:val="37"/>
              <w:keepNext w:val="0"/>
              <w:keepLines w:val="0"/>
              <w:numPr>
                <w:ilvl w:val="0"/>
                <w:numId w:val="7"/>
              </w:numPr>
              <w:suppressLineNumbers w:val="0"/>
              <w:spacing w:before="0" w:beforeAutospacing="0" w:after="60" w:afterAutospacing="0"/>
              <w:ind w:right="0" w:firstLineChars="0"/>
              <w:rPr>
                <w:rFonts w:hint="default"/>
                <w:color w:val="0070C0"/>
                <w:sz w:val="22"/>
                <w:szCs w:val="28"/>
                <w:lang w:val="en-US" w:eastAsia="zh-CN"/>
              </w:rPr>
            </w:pPr>
            <w:r>
              <w:rPr>
                <w:rFonts w:hint="default"/>
                <w:szCs w:val="22"/>
                <w:lang w:val="en-US"/>
              </w:rPr>
              <w:t>5G requirements that might also be applicable to 6G.</w:t>
            </w:r>
          </w:p>
          <w:p w14:paraId="49873A4E">
            <w:pPr>
              <w:pStyle w:val="37"/>
              <w:keepNext w:val="0"/>
              <w:keepLines w:val="0"/>
              <w:numPr>
                <w:ilvl w:val="0"/>
                <w:numId w:val="7"/>
              </w:numPr>
              <w:suppressLineNumbers w:val="0"/>
              <w:spacing w:before="0" w:beforeAutospacing="0" w:after="60" w:afterAutospacing="0"/>
              <w:ind w:right="0" w:firstLineChars="0"/>
              <w:rPr>
                <w:rFonts w:hint="default"/>
                <w:color w:val="0070C0"/>
                <w:sz w:val="22"/>
                <w:szCs w:val="28"/>
                <w:lang w:val="en-US" w:eastAsia="zh-CN"/>
              </w:rPr>
            </w:pPr>
            <w:r>
              <w:rPr>
                <w:rFonts w:hint="default"/>
                <w:szCs w:val="22"/>
                <w:lang w:val="en-US"/>
              </w:rPr>
              <w:t>5G requirements which will need to be re-evaluated based on 6G system parameters but would not need a further study.</w:t>
            </w:r>
          </w:p>
          <w:p w14:paraId="49873A4F">
            <w:pPr>
              <w:pStyle w:val="37"/>
              <w:keepNext w:val="0"/>
              <w:keepLines w:val="0"/>
              <w:numPr>
                <w:ilvl w:val="0"/>
                <w:numId w:val="7"/>
              </w:numPr>
              <w:suppressLineNumbers w:val="0"/>
              <w:spacing w:before="0" w:beforeAutospacing="0" w:after="60" w:afterAutospacing="0"/>
              <w:ind w:right="0" w:firstLineChars="0"/>
              <w:rPr>
                <w:rFonts w:hint="default"/>
                <w:color w:val="0070C0"/>
                <w:sz w:val="22"/>
                <w:szCs w:val="28"/>
                <w:lang w:val="en-US" w:eastAsia="zh-CN"/>
              </w:rPr>
            </w:pPr>
            <w:r>
              <w:rPr>
                <w:rFonts w:hint="default"/>
                <w:szCs w:val="22"/>
                <w:lang w:val="en-US"/>
              </w:rPr>
              <w:t>5G requirements which should be further studied in the scope of the 6G SI, a prioritization might be made in next meeting.</w:t>
            </w:r>
          </w:p>
          <w:p w14:paraId="49873A50">
            <w:pPr>
              <w:keepNext w:val="0"/>
              <w:keepLines w:val="0"/>
              <w:suppressLineNumbers w:val="0"/>
              <w:spacing w:before="0" w:beforeAutospacing="0" w:afterAutospacing="0"/>
              <w:ind w:left="0" w:right="0"/>
              <w:rPr>
                <w:rFonts w:hint="default" w:ascii="Arial" w:hAnsi="Arial" w:eastAsia="Yu Mincho"/>
                <w:sz w:val="18"/>
                <w:lang w:val="en-US"/>
              </w:rPr>
            </w:pPr>
          </w:p>
          <w:p w14:paraId="49873A51">
            <w:pPr>
              <w:pStyle w:val="4"/>
              <w:suppressLineNumbers w:val="0"/>
              <w:spacing w:beforeAutospacing="0" w:afterAutospacing="0"/>
              <w:ind w:right="0"/>
              <w:rPr>
                <w:rFonts w:hint="default" w:ascii="Times New Roman" w:hAnsi="Times New Roman" w:cs="Times New Roman"/>
                <w:sz w:val="21"/>
                <w:szCs w:val="21"/>
                <w:lang w:val="en-US"/>
              </w:rPr>
            </w:pPr>
            <w:r>
              <w:rPr>
                <w:rFonts w:hint="default" w:ascii="Times New Roman" w:hAnsi="Times New Roman" w:cs="Times New Roman"/>
                <w:sz w:val="21"/>
                <w:szCs w:val="21"/>
                <w:lang w:val="en-US"/>
              </w:rPr>
              <w:t>Issue 1-2-1: BS type 1-H enhancement</w:t>
            </w:r>
          </w:p>
          <w:p w14:paraId="49873A52">
            <w:pPr>
              <w:keepNext w:val="0"/>
              <w:keepLines w:val="0"/>
              <w:suppressLineNumbers w:val="0"/>
              <w:spacing w:before="0" w:beforeAutospacing="0" w:after="120" w:afterAutospacing="0"/>
              <w:ind w:left="0" w:right="0"/>
              <w:rPr>
                <w:rFonts w:hint="default"/>
                <w:b/>
                <w:bCs/>
                <w:lang w:val="zh-CN"/>
              </w:rPr>
            </w:pPr>
            <w:r>
              <w:rPr>
                <w:rFonts w:hint="default" w:eastAsia="PMingLiU"/>
                <w:b/>
                <w:bCs/>
              </w:rPr>
              <w:t>A</w:t>
            </w:r>
            <w:r>
              <w:rPr>
                <w:rFonts w:hint="default"/>
                <w:b/>
                <w:bCs/>
                <w:lang w:val="zh-CN"/>
              </w:rPr>
              <w:t xml:space="preserve">greement: </w:t>
            </w:r>
          </w:p>
          <w:p w14:paraId="49873A53">
            <w:pPr>
              <w:keepNext w:val="0"/>
              <w:keepLines w:val="0"/>
              <w:suppressLineNumbers w:val="0"/>
              <w:spacing w:before="0" w:beforeAutospacing="0" w:after="120" w:afterAutospacing="0"/>
              <w:ind w:left="0" w:right="0"/>
              <w:rPr>
                <w:rFonts w:hint="default"/>
                <w:lang w:val="en-US"/>
              </w:rPr>
            </w:pPr>
            <w:r>
              <w:rPr>
                <w:rFonts w:hint="default"/>
                <w:lang w:val="en-US"/>
              </w:rPr>
              <w:t>BS Hybrid beamforming type of architecture shall be studied.</w:t>
            </w:r>
          </w:p>
          <w:p w14:paraId="58A3EEDF">
            <w:pPr>
              <w:keepNext w:val="0"/>
              <w:keepLines w:val="0"/>
              <w:suppressLineNumbers w:val="0"/>
              <w:spacing w:before="0" w:beforeAutospacing="0" w:after="120" w:afterAutospacing="0"/>
              <w:ind w:left="0" w:right="0"/>
              <w:rPr>
                <w:rFonts w:hint="default"/>
                <w:lang w:val="en-US"/>
              </w:rPr>
            </w:pPr>
          </w:p>
          <w:p w14:paraId="49873A54">
            <w:pPr>
              <w:pStyle w:val="4"/>
              <w:suppressLineNumbers w:val="0"/>
              <w:spacing w:beforeAutospacing="0" w:afterAutospacing="0"/>
              <w:ind w:right="0"/>
              <w:rPr>
                <w:rFonts w:hint="default" w:ascii="Times New Roman" w:hAnsi="Times New Roman" w:cs="Times New Roman"/>
                <w:sz w:val="21"/>
                <w:szCs w:val="21"/>
                <w:lang w:val="en-US"/>
              </w:rPr>
            </w:pPr>
            <w:r>
              <w:rPr>
                <w:rFonts w:hint="default" w:ascii="Times New Roman" w:hAnsi="Times New Roman" w:cs="Times New Roman"/>
                <w:sz w:val="21"/>
                <w:szCs w:val="21"/>
                <w:lang w:val="en-US"/>
              </w:rPr>
              <w:t>Requirements for cmWave bands</w:t>
            </w:r>
          </w:p>
          <w:p w14:paraId="49873A55">
            <w:pPr>
              <w:pStyle w:val="4"/>
              <w:suppressLineNumbers w:val="0"/>
              <w:spacing w:beforeAutospacing="0" w:afterAutospacing="0"/>
              <w:ind w:right="0"/>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Issue 1-3-3: Rx Requirements </w:t>
            </w:r>
          </w:p>
          <w:p w14:paraId="49873A56">
            <w:pPr>
              <w:keepNext w:val="0"/>
              <w:keepLines w:val="0"/>
              <w:suppressLineNumbers w:val="0"/>
              <w:spacing w:before="0" w:beforeAutospacing="0" w:afterAutospacing="0"/>
              <w:ind w:left="0" w:right="0"/>
              <w:rPr>
                <w:rFonts w:hint="default"/>
                <w:b/>
                <w:bCs/>
                <w:szCs w:val="22"/>
                <w:lang w:val="en-US"/>
              </w:rPr>
            </w:pPr>
            <w:r>
              <w:rPr>
                <w:rFonts w:hint="default"/>
                <w:b/>
                <w:bCs/>
                <w:szCs w:val="22"/>
                <w:lang w:val="zh-CN"/>
              </w:rPr>
              <w:t xml:space="preserve">Agreement: </w:t>
            </w:r>
          </w:p>
          <w:p w14:paraId="1D8A1D56">
            <w:pPr>
              <w:keepNext w:val="0"/>
              <w:keepLines w:val="0"/>
              <w:suppressLineNumbers w:val="0"/>
              <w:spacing w:before="0" w:beforeAutospacing="0" w:afterAutospacing="0"/>
              <w:ind w:left="284" w:right="0"/>
              <w:rPr>
                <w:rFonts w:hint="default"/>
                <w:color w:val="000000" w:themeColor="text1"/>
                <w:lang w:val="en-US" w:eastAsia="zh-CN"/>
                <w14:textFill>
                  <w14:solidFill>
                    <w14:schemeClr w14:val="tx1"/>
                  </w14:solidFill>
                </w14:textFill>
              </w:rPr>
            </w:pPr>
            <w:r>
              <w:rPr>
                <w:rFonts w:hint="default"/>
                <w:szCs w:val="22"/>
                <w:lang w:val="en-US"/>
              </w:rPr>
              <w:t>For above 7 GHz, further study how BS Rx requirements should be specified, using FR2 approach or not</w:t>
            </w:r>
            <w:r>
              <w:rPr>
                <w:rFonts w:hint="default"/>
                <w:szCs w:val="22"/>
                <w:lang w:val="en-US" w:eastAsia="zh-CN"/>
              </w:rPr>
              <w:t xml:space="preserve">, including </w:t>
            </w:r>
            <w:r>
              <w:rPr>
                <w:rFonts w:hint="default"/>
                <w:szCs w:val="22"/>
                <w:lang w:val="en-US"/>
              </w:rPr>
              <w:t xml:space="preserve">if blocking should be specified based on FR2 methodology. </w:t>
            </w:r>
          </w:p>
        </w:tc>
      </w:tr>
    </w:tbl>
    <w:p w14:paraId="008DBA85">
      <w:pPr>
        <w:pStyle w:val="58"/>
        <w:tabs>
          <w:tab w:val="left" w:pos="567"/>
          <w:tab w:val="clear" w:pos="1985"/>
        </w:tabs>
        <w:adjustRightInd w:val="0"/>
        <w:ind w:left="510" w:hanging="510"/>
        <w:rPr>
          <w:rFonts w:eastAsia="Times New Roman"/>
        </w:rPr>
      </w:pPr>
      <w:bookmarkStart w:id="1" w:name="OLE_LINK14"/>
      <w:bookmarkStart w:id="2" w:name="OLE_LINK20"/>
      <w:bookmarkStart w:id="3" w:name="OLE_LINK10"/>
      <w:bookmarkStart w:id="4" w:name="OLE_LINK13"/>
      <w:r>
        <w:rPr>
          <w:rFonts w:hint="eastAsia"/>
          <w:lang w:val="en-US" w:eastAsia="zh-CN"/>
        </w:rPr>
        <w:t>Discussion</w:t>
      </w:r>
      <w:r>
        <w:rPr>
          <w:rFonts w:hint="eastAsia" w:eastAsia="Times New Roman"/>
        </w:rPr>
        <w:t xml:space="preserve"> </w:t>
      </w:r>
    </w:p>
    <w:p w14:paraId="5B70A902">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54C572A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2.1. Enhancement conformance testing for U6GHz EEIRP mask</w:t>
      </w:r>
    </w:p>
    <w:p w14:paraId="2A4BD95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b w:val="0"/>
          <w:bCs w:val="0"/>
          <w:lang w:val="en-US" w:eastAsia="zh-CN"/>
        </w:rPr>
      </w:pPr>
      <w:r>
        <w:rPr>
          <w:rFonts w:hint="eastAsia"/>
          <w:b w:val="0"/>
          <w:bCs w:val="0"/>
          <w:lang w:val="en-US" w:eastAsia="zh-CN"/>
        </w:rPr>
        <w:t>In the Rel-19, U6GHz EEIRP mask was introduced for NR BS and NCR with the following test beam distributed equally within the declared beam steer range as shown in Figure 2.1-1.</w:t>
      </w:r>
    </w:p>
    <w:p w14:paraId="43E87C1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m:oMathPara>
        <m:oMath>
          <m:r>
            <m:rPr/>
            <w:rPr>
              <w:rFonts w:ascii="Cambria Math" w:hAnsi="Cambria Math" w:cs="Arial"/>
              <w:color w:val="000000"/>
              <w:lang w:val="en-US"/>
            </w:rPr>
            <m:t>EEIRP</m:t>
          </m:r>
          <m:d>
            <m:dPr>
              <m:ctrlPr>
                <w:rPr>
                  <w:rFonts w:ascii="Cambria Math" w:hAnsi="Cambria Math" w:cs="Arial"/>
                  <w:i/>
                  <w:color w:val="000000"/>
                  <w:lang w:val="en-US"/>
                </w:rPr>
              </m:ctrlPr>
            </m:dPr>
            <m:e>
              <m:sSub>
                <m:sSubPr>
                  <m:ctrlPr>
                    <w:rPr>
                      <w:rFonts w:ascii="Cambria Math" w:hAnsi="Cambria Math" w:eastAsia="Cambria"/>
                      <w:i/>
                      <w:color w:val="000000"/>
                      <w:lang w:val="en-US"/>
                    </w:rPr>
                  </m:ctrlPr>
                </m:sSubPr>
                <m:e>
                  <m:r>
                    <m:rPr/>
                    <w:rPr>
                      <w:rFonts w:ascii="Cambria Math" w:hAnsi="Cambria Math" w:eastAsia="Cambria"/>
                      <w:color w:val="000000"/>
                      <w:lang w:val="en-US"/>
                    </w:rPr>
                    <m:t>θ</m:t>
                  </m:r>
                  <m:ctrlPr>
                    <w:rPr>
                      <w:rFonts w:ascii="Cambria Math" w:hAnsi="Cambria Math" w:eastAsia="Cambria"/>
                      <w:i/>
                      <w:color w:val="000000"/>
                      <w:lang w:val="en-US"/>
                    </w:rPr>
                  </m:ctrlPr>
                </m:e>
                <m:sub>
                  <m:r>
                    <m:rPr/>
                    <w:rPr>
                      <w:rFonts w:ascii="Cambria Math" w:hAnsi="Cambria Math" w:eastAsia="Cambria"/>
                      <w:color w:val="000000"/>
                      <w:lang w:val="en-US"/>
                    </w:rPr>
                    <m:t>HLi</m:t>
                  </m:r>
                  <m:ctrlPr>
                    <w:rPr>
                      <w:rFonts w:ascii="Cambria Math" w:hAnsi="Cambria Math" w:eastAsia="Cambria"/>
                      <w:i/>
                      <w:color w:val="000000"/>
                      <w:lang w:val="en-US"/>
                    </w:rPr>
                  </m:ctrlPr>
                </m:sub>
              </m:sSub>
              <m:r>
                <m:rPr/>
                <w:rPr>
                  <w:rFonts w:ascii="Cambria Math" w:hAnsi="Cambria Math" w:eastAsia="Cambria"/>
                  <w:color w:val="000000"/>
                  <w:lang w:val="en-US"/>
                </w:rPr>
                <m:t xml:space="preserve"> , </m:t>
              </m:r>
              <m:sSub>
                <m:sSubPr>
                  <m:ctrlPr>
                    <w:rPr>
                      <w:rFonts w:ascii="Cambria Math" w:hAnsi="Cambria Math" w:eastAsia="Cambria"/>
                      <w:i/>
                      <w:color w:val="000000"/>
                      <w:lang w:val="en-US"/>
                    </w:rPr>
                  </m:ctrlPr>
                </m:sSubPr>
                <m:e>
                  <m:r>
                    <m:rPr/>
                    <w:rPr>
                      <w:rFonts w:ascii="Cambria Math" w:hAnsi="Cambria Math" w:eastAsia="Cambria"/>
                      <w:color w:val="000000"/>
                      <w:lang w:val="en-US"/>
                    </w:rPr>
                    <m:t>θ</m:t>
                  </m:r>
                  <m:ctrlPr>
                    <w:rPr>
                      <w:rFonts w:ascii="Cambria Math" w:hAnsi="Cambria Math" w:eastAsia="Cambria"/>
                      <w:i/>
                      <w:color w:val="000000"/>
                      <w:lang w:val="en-US"/>
                    </w:rPr>
                  </m:ctrlPr>
                </m:e>
                <m:sub>
                  <m:r>
                    <m:rPr/>
                    <w:rPr>
                      <w:rFonts w:ascii="Cambria Math" w:hAnsi="Cambria Math" w:eastAsia="Cambria"/>
                      <w:color w:val="000000"/>
                      <w:lang w:val="en-US"/>
                    </w:rPr>
                    <m:t>HHi</m:t>
                  </m:r>
                  <m:ctrlPr>
                    <w:rPr>
                      <w:rFonts w:ascii="Cambria Math" w:hAnsi="Cambria Math" w:eastAsia="Cambria"/>
                      <w:i/>
                      <w:color w:val="000000"/>
                      <w:lang w:val="en-US"/>
                    </w:rPr>
                  </m:ctrlPr>
                </m:sub>
              </m:sSub>
              <m:ctrlPr>
                <w:rPr>
                  <w:rFonts w:ascii="Cambria Math" w:hAnsi="Cambria Math" w:cs="Arial"/>
                  <w:i/>
                  <w:color w:val="000000"/>
                  <w:lang w:val="en-US"/>
                </w:rPr>
              </m:ctrlPr>
            </m:e>
          </m:d>
          <m:r>
            <m:rPr/>
            <w:rPr>
              <w:rFonts w:ascii="Cambria Math" w:hAnsi="Cambria Math" w:cs="Arial"/>
              <w:color w:val="000000"/>
              <w:lang w:val="en-US"/>
            </w:rPr>
            <m:t>=</m:t>
          </m:r>
          <m:f>
            <m:fPr>
              <m:ctrlPr>
                <w:rPr>
                  <w:rFonts w:ascii="Cambria Math" w:hAnsi="Cambria Math" w:eastAsia="Cambria"/>
                  <w:i/>
                  <w:iCs/>
                  <w:color w:val="000000"/>
                  <w:lang w:val="en-US"/>
                </w:rPr>
              </m:ctrlPr>
            </m:fPr>
            <m:num>
              <m:r>
                <m:rPr/>
                <w:rPr>
                  <w:rFonts w:ascii="Cambria Math" w:hAnsi="Cambria Math" w:eastAsia="Cambria"/>
                  <w:color w:val="000000"/>
                  <w:lang w:val="en-US"/>
                </w:rPr>
                <m:t>(</m:t>
              </m:r>
              <m:sSub>
                <m:sSubPr>
                  <m:ctrlPr>
                    <w:rPr>
                      <w:rFonts w:ascii="Cambria Math" w:hAnsi="Cambria Math" w:eastAsia="Cambria"/>
                      <w:i/>
                      <w:color w:val="000000"/>
                      <w:lang w:val="en-US"/>
                    </w:rPr>
                  </m:ctrlPr>
                </m:sSubPr>
                <m:e>
                  <m:r>
                    <m:rPr/>
                    <w:rPr>
                      <w:rFonts w:ascii="Cambria Math" w:hAnsi="Cambria Math" w:eastAsia="Cambria"/>
                      <w:color w:val="000000"/>
                      <w:lang w:val="en-US"/>
                    </w:rPr>
                    <m:t>θ</m:t>
                  </m:r>
                  <m:ctrlPr>
                    <w:rPr>
                      <w:rFonts w:ascii="Cambria Math" w:hAnsi="Cambria Math" w:eastAsia="Cambria"/>
                      <w:i/>
                      <w:color w:val="000000"/>
                      <w:lang w:val="en-US"/>
                    </w:rPr>
                  </m:ctrlPr>
                </m:e>
                <m:sub>
                  <m:r>
                    <m:rPr/>
                    <w:rPr>
                      <w:rFonts w:ascii="Cambria Math" w:hAnsi="Cambria Math" w:eastAsia="Cambria"/>
                      <w:color w:val="000000"/>
                      <w:lang w:val="en-US"/>
                    </w:rPr>
                    <m:t>HHi</m:t>
                  </m:r>
                  <m:ctrlPr>
                    <w:rPr>
                      <w:rFonts w:ascii="Cambria Math" w:hAnsi="Cambria Math" w:eastAsia="Cambria"/>
                      <w:i/>
                      <w:color w:val="000000"/>
                      <w:lang w:val="en-US"/>
                    </w:rPr>
                  </m:ctrlPr>
                </m:sub>
              </m:sSub>
              <m:r>
                <m:rPr/>
                <w:rPr>
                  <w:rFonts w:ascii="Cambria Math" w:hAnsi="Cambria Math" w:eastAsia="Cambria"/>
                  <w:color w:val="000000"/>
                  <w:lang w:val="en-US"/>
                </w:rPr>
                <m:t>−</m:t>
              </m:r>
              <m:sSub>
                <m:sSubPr>
                  <m:ctrlPr>
                    <w:rPr>
                      <w:rFonts w:ascii="Cambria Math" w:hAnsi="Cambria Math" w:eastAsia="Cambria"/>
                      <w:i/>
                      <w:color w:val="000000"/>
                      <w:lang w:val="en-US"/>
                    </w:rPr>
                  </m:ctrlPr>
                </m:sSubPr>
                <m:e>
                  <m:r>
                    <m:rPr/>
                    <w:rPr>
                      <w:rFonts w:ascii="Cambria Math" w:hAnsi="Cambria Math" w:eastAsia="Cambria"/>
                      <w:color w:val="000000"/>
                      <w:lang w:val="en-US"/>
                    </w:rPr>
                    <m:t>θ</m:t>
                  </m:r>
                  <m:ctrlPr>
                    <w:rPr>
                      <w:rFonts w:ascii="Cambria Math" w:hAnsi="Cambria Math" w:eastAsia="Cambria"/>
                      <w:i/>
                      <w:color w:val="000000"/>
                      <w:lang w:val="en-US"/>
                    </w:rPr>
                  </m:ctrlPr>
                </m:e>
                <m:sub>
                  <m:r>
                    <m:rPr/>
                    <w:rPr>
                      <w:rFonts w:ascii="Cambria Math" w:hAnsi="Cambria Math" w:eastAsia="Cambria"/>
                      <w:color w:val="000000"/>
                      <w:lang w:val="en-US"/>
                    </w:rPr>
                    <m:t>HLi</m:t>
                  </m:r>
                  <m:ctrlPr>
                    <w:rPr>
                      <w:rFonts w:ascii="Cambria Math" w:hAnsi="Cambria Math" w:eastAsia="Cambria"/>
                      <w:i/>
                      <w:color w:val="000000"/>
                      <w:lang w:val="en-US"/>
                    </w:rPr>
                  </m:ctrlPr>
                </m:sub>
              </m:sSub>
              <m:r>
                <m:rPr/>
                <w:rPr>
                  <w:rFonts w:ascii="Cambria Math" w:hAnsi="Cambria Math" w:eastAsia="Cambria"/>
                  <w:color w:val="000000"/>
                  <w:lang w:val="en-US"/>
                </w:rPr>
                <m:t>)×</m:t>
              </m:r>
              <m:f>
                <m:fPr>
                  <m:ctrlPr>
                    <w:rPr>
                      <w:rFonts w:ascii="Cambria Math" w:hAnsi="Cambria Math" w:eastAsia="Cambria"/>
                      <w:i/>
                      <w:color w:val="000000"/>
                      <w:lang w:val="en-US"/>
                    </w:rPr>
                  </m:ctrlPr>
                </m:fPr>
                <m:num>
                  <m:r>
                    <m:rPr/>
                    <w:rPr>
                      <w:rFonts w:ascii="Cambria Math" w:hAnsi="Cambria Math" w:eastAsia="Cambria"/>
                      <w:color w:val="000000"/>
                      <w:lang w:val="en-US"/>
                    </w:rPr>
                    <m:t>π</m:t>
                  </m:r>
                  <m:ctrlPr>
                    <w:rPr>
                      <w:rFonts w:ascii="Cambria Math" w:hAnsi="Cambria Math" w:eastAsia="Cambria"/>
                      <w:i/>
                      <w:color w:val="000000"/>
                      <w:lang w:val="en-US"/>
                    </w:rPr>
                  </m:ctrlPr>
                </m:num>
                <m:den>
                  <m:r>
                    <m:rPr/>
                    <w:rPr>
                      <w:rFonts w:ascii="Cambria Math" w:hAnsi="Cambria Math" w:eastAsia="Cambria"/>
                      <w:color w:val="000000"/>
                      <w:lang w:val="en-US"/>
                    </w:rPr>
                    <m:t>180°</m:t>
                  </m:r>
                  <m:ctrlPr>
                    <w:rPr>
                      <w:rFonts w:ascii="Cambria Math" w:hAnsi="Cambria Math" w:eastAsia="Cambria"/>
                      <w:i/>
                      <w:color w:val="000000"/>
                      <w:lang w:val="en-US"/>
                    </w:rPr>
                  </m:ctrlPr>
                </m:den>
              </m:f>
              <m:ctrlPr>
                <w:rPr>
                  <w:rFonts w:ascii="Cambria Math" w:hAnsi="Cambria Math" w:eastAsia="Cambria"/>
                  <w:i/>
                  <w:iCs/>
                  <w:color w:val="000000"/>
                  <w:lang w:val="en-US"/>
                </w:rPr>
              </m:ctrlPr>
            </m:num>
            <m:den>
              <m:r>
                <m:rPr/>
                <w:rPr>
                  <w:rFonts w:ascii="Cambria Math" w:hAnsi="Cambria Math" w:cs="Arial"/>
                  <w:color w:val="000000"/>
                  <w:lang w:val="en-US"/>
                </w:rPr>
                <m:t>MN</m:t>
              </m:r>
              <m:d>
                <m:dPr>
                  <m:ctrlPr>
                    <w:rPr>
                      <w:rFonts w:ascii="Cambria Math" w:hAnsi="Cambria Math" w:eastAsia="Cambria"/>
                      <w:i/>
                      <w:iCs/>
                      <w:color w:val="000000"/>
                      <w:lang w:val="en-US"/>
                    </w:rPr>
                  </m:ctrlPr>
                </m:dPr>
                <m:e>
                  <m:r>
                    <m:rPr/>
                    <w:rPr>
                      <w:rFonts w:ascii="Cambria Math" w:hAnsi="Cambria Math" w:cs="Arial"/>
                      <w:color w:val="000000"/>
                      <w:lang w:val="en-US"/>
                    </w:rPr>
                    <m:t>sin</m:t>
                  </m:r>
                  <m:sSub>
                    <m:sSubPr>
                      <m:ctrlPr>
                        <w:rPr>
                          <w:rFonts w:ascii="Cambria Math" w:hAnsi="Cambria Math" w:eastAsia="Cambria"/>
                          <w:i/>
                          <w:iCs/>
                          <w:color w:val="000000"/>
                          <w:lang w:val="en-US"/>
                        </w:rPr>
                      </m:ctrlPr>
                    </m:sSubPr>
                    <m:e>
                      <m:r>
                        <m:rPr/>
                        <w:rPr>
                          <w:rFonts w:ascii="Cambria Math" w:hAnsi="Cambria Math" w:cs="Arial"/>
                          <w:color w:val="000000"/>
                          <w:lang w:val="en-US"/>
                        </w:rPr>
                        <m:t>θ</m:t>
                      </m:r>
                      <m:ctrlPr>
                        <w:rPr>
                          <w:rFonts w:ascii="Cambria Math" w:hAnsi="Cambria Math" w:eastAsia="Cambria"/>
                          <w:i/>
                          <w:iCs/>
                          <w:color w:val="000000"/>
                          <w:lang w:val="en-US"/>
                        </w:rPr>
                      </m:ctrlPr>
                    </m:e>
                    <m:sub>
                      <m:r>
                        <m:rPr/>
                        <w:rPr>
                          <w:rFonts w:ascii="Cambria Math" w:hAnsi="Cambria Math" w:cs="Arial"/>
                          <w:color w:val="000000"/>
                          <w:lang w:val="en-US"/>
                        </w:rPr>
                        <m:t>HHi</m:t>
                      </m:r>
                      <m:ctrlPr>
                        <w:rPr>
                          <w:rFonts w:ascii="Cambria Math" w:hAnsi="Cambria Math" w:eastAsia="Cambria"/>
                          <w:i/>
                          <w:iCs/>
                          <w:color w:val="000000"/>
                          <w:lang w:val="en-US"/>
                        </w:rPr>
                      </m:ctrlPr>
                    </m:sub>
                  </m:sSub>
                  <m:r>
                    <m:rPr/>
                    <w:rPr>
                      <w:rFonts w:ascii="Cambria Math" w:hAnsi="Cambria Math" w:cs="Arial"/>
                      <w:color w:val="000000"/>
                      <w:lang w:val="en-US"/>
                    </w:rPr>
                    <m:t>−sin</m:t>
                  </m:r>
                  <m:sSub>
                    <m:sSubPr>
                      <m:ctrlPr>
                        <w:rPr>
                          <w:rFonts w:ascii="Cambria Math" w:hAnsi="Cambria Math" w:eastAsia="Cambria"/>
                          <w:i/>
                          <w:iCs/>
                          <w:color w:val="000000"/>
                          <w:lang w:val="en-US"/>
                        </w:rPr>
                      </m:ctrlPr>
                    </m:sSubPr>
                    <m:e>
                      <m:r>
                        <m:rPr/>
                        <w:rPr>
                          <w:rFonts w:ascii="Cambria Math" w:hAnsi="Cambria Math" w:cs="Arial"/>
                          <w:color w:val="000000"/>
                          <w:lang w:val="en-US"/>
                        </w:rPr>
                        <m:t>θ</m:t>
                      </m:r>
                      <m:ctrlPr>
                        <w:rPr>
                          <w:rFonts w:ascii="Cambria Math" w:hAnsi="Cambria Math" w:eastAsia="Cambria"/>
                          <w:i/>
                          <w:iCs/>
                          <w:color w:val="000000"/>
                          <w:lang w:val="en-US"/>
                        </w:rPr>
                      </m:ctrlPr>
                    </m:e>
                    <m:sub>
                      <m:r>
                        <m:rPr/>
                        <w:rPr>
                          <w:rFonts w:ascii="Cambria Math" w:hAnsi="Cambria Math" w:cs="Arial"/>
                          <w:color w:val="000000"/>
                          <w:lang w:val="en-US"/>
                        </w:rPr>
                        <m:t>HLi</m:t>
                      </m:r>
                      <m:ctrlPr>
                        <w:rPr>
                          <w:rFonts w:ascii="Cambria Math" w:hAnsi="Cambria Math" w:eastAsia="Cambria"/>
                          <w:i/>
                          <w:iCs/>
                          <w:color w:val="000000"/>
                          <w:lang w:val="en-US"/>
                        </w:rPr>
                      </m:ctrlPr>
                    </m:sub>
                  </m:sSub>
                  <m:ctrlPr>
                    <w:rPr>
                      <w:rFonts w:ascii="Cambria Math" w:hAnsi="Cambria Math" w:eastAsia="Cambria"/>
                      <w:i/>
                      <w:iCs/>
                      <w:color w:val="000000"/>
                      <w:lang w:val="en-US"/>
                    </w:rPr>
                  </m:ctrlPr>
                </m:e>
              </m:d>
              <m:ctrlPr>
                <w:rPr>
                  <w:rFonts w:ascii="Cambria Math" w:hAnsi="Cambria Math" w:eastAsia="Cambria"/>
                  <w:i/>
                  <w:iCs/>
                  <w:color w:val="000000"/>
                  <w:lang w:val="en-US"/>
                </w:rPr>
              </m:ctrlPr>
            </m:den>
          </m:f>
          <m:nary>
            <m:naryPr>
              <m:chr m:val="∑"/>
              <m:limLoc m:val="subSup"/>
              <m:ctrlPr>
                <w:rPr>
                  <w:rFonts w:ascii="Cambria Math" w:hAnsi="Cambria Math" w:eastAsia="Cambria"/>
                  <w:i/>
                  <w:iCs/>
                  <w:color w:val="000000"/>
                  <w:lang w:val="en-US"/>
                </w:rPr>
              </m:ctrlPr>
            </m:naryPr>
            <m:sub>
              <m:r>
                <m:rPr/>
                <w:rPr>
                  <w:rFonts w:ascii="Cambria Math" w:hAnsi="Cambria Math" w:eastAsia="Cambria"/>
                  <w:color w:val="000000"/>
                  <w:lang w:val="en-US"/>
                </w:rPr>
                <m:t>n=</m:t>
              </m:r>
              <m:sSub>
                <m:sSubPr>
                  <m:ctrlPr>
                    <w:rPr>
                      <w:rFonts w:ascii="Cambria Math" w:hAnsi="Cambria Math" w:eastAsia="Cambria"/>
                      <w:i/>
                      <w:iCs/>
                      <w:color w:val="000000"/>
                      <w:lang w:val="en-US"/>
                    </w:rPr>
                  </m:ctrlPr>
                </m:sSubPr>
                <m:e>
                  <m:r>
                    <m:rPr/>
                    <w:rPr>
                      <w:rFonts w:ascii="Cambria Math" w:hAnsi="Cambria Math" w:eastAsia="Cambria"/>
                      <w:color w:val="000000"/>
                      <w:lang w:val="en-US"/>
                    </w:rPr>
                    <m:t>n</m:t>
                  </m:r>
                  <m:ctrlPr>
                    <w:rPr>
                      <w:rFonts w:ascii="Cambria Math" w:hAnsi="Cambria Math" w:eastAsia="Cambria"/>
                      <w:i/>
                      <w:iCs/>
                      <w:color w:val="000000"/>
                      <w:lang w:val="en-US"/>
                    </w:rPr>
                  </m:ctrlPr>
                </m:e>
                <m:sub>
                  <m:r>
                    <m:rPr/>
                    <w:rPr>
                      <w:rFonts w:ascii="Cambria Math" w:hAnsi="Cambria Math" w:eastAsia="Cambria"/>
                      <w:color w:val="000000"/>
                      <w:lang w:val="en-US"/>
                    </w:rPr>
                    <m:t>L</m:t>
                  </m:r>
                  <m:ctrlPr>
                    <w:rPr>
                      <w:rFonts w:ascii="Cambria Math" w:hAnsi="Cambria Math" w:eastAsia="Cambria"/>
                      <w:i/>
                      <w:iCs/>
                      <w:color w:val="000000"/>
                      <w:lang w:val="en-US"/>
                    </w:rPr>
                  </m:ctrlPr>
                </m:sub>
              </m:sSub>
              <m:ctrlPr>
                <w:rPr>
                  <w:rFonts w:ascii="Cambria Math" w:hAnsi="Cambria Math" w:eastAsia="Cambria"/>
                  <w:i/>
                  <w:iCs/>
                  <w:color w:val="000000"/>
                  <w:lang w:val="en-US"/>
                </w:rPr>
              </m:ctrlPr>
            </m:sub>
            <m:sup>
              <m:sSub>
                <m:sSubPr>
                  <m:ctrlPr>
                    <w:rPr>
                      <w:rFonts w:ascii="Cambria Math" w:hAnsi="Cambria Math" w:eastAsia="Cambria"/>
                      <w:i/>
                      <w:iCs/>
                      <w:color w:val="000000"/>
                      <w:lang w:val="en-US"/>
                    </w:rPr>
                  </m:ctrlPr>
                </m:sSubPr>
                <m:e>
                  <m:r>
                    <m:rPr/>
                    <w:rPr>
                      <w:rFonts w:ascii="Cambria Math" w:hAnsi="Cambria Math" w:eastAsia="Cambria"/>
                      <w:color w:val="000000"/>
                      <w:lang w:val="en-US"/>
                    </w:rPr>
                    <m:t>n</m:t>
                  </m:r>
                  <m:ctrlPr>
                    <w:rPr>
                      <w:rFonts w:ascii="Cambria Math" w:hAnsi="Cambria Math" w:eastAsia="Cambria"/>
                      <w:i/>
                      <w:iCs/>
                      <w:color w:val="000000"/>
                      <w:lang w:val="en-US"/>
                    </w:rPr>
                  </m:ctrlPr>
                </m:e>
                <m:sub>
                  <m:r>
                    <m:rPr/>
                    <w:rPr>
                      <w:rFonts w:ascii="Cambria Math" w:hAnsi="Cambria Math" w:eastAsia="Cambria"/>
                      <w:color w:val="000000"/>
                      <w:lang w:val="en-US"/>
                    </w:rPr>
                    <m:t>H</m:t>
                  </m:r>
                  <m:ctrlPr>
                    <w:rPr>
                      <w:rFonts w:ascii="Cambria Math" w:hAnsi="Cambria Math" w:eastAsia="Cambria"/>
                      <w:i/>
                      <w:iCs/>
                      <w:color w:val="000000"/>
                      <w:lang w:val="en-US"/>
                    </w:rPr>
                  </m:ctrlPr>
                </m:sub>
              </m:sSub>
              <m:ctrlPr>
                <w:rPr>
                  <w:rFonts w:ascii="Cambria Math" w:hAnsi="Cambria Math" w:eastAsia="Cambria"/>
                  <w:i/>
                  <w:iCs/>
                  <w:color w:val="000000"/>
                  <w:lang w:val="en-US"/>
                </w:rPr>
              </m:ctrlPr>
            </m:sup>
            <m:e>
              <m:nary>
                <m:naryPr>
                  <m:chr m:val="∑"/>
                  <m:limLoc m:val="subSup"/>
                  <m:ctrlPr>
                    <w:rPr>
                      <w:rFonts w:ascii="Cambria Math" w:hAnsi="Cambria Math" w:eastAsia="Cambria"/>
                      <w:i/>
                      <w:iCs/>
                      <w:color w:val="000000"/>
                      <w:lang w:val="en-US"/>
                    </w:rPr>
                  </m:ctrlPr>
                </m:naryPr>
                <m:sub>
                  <m:r>
                    <m:rPr/>
                    <w:rPr>
                      <w:rFonts w:ascii="Cambria Math" w:hAnsi="Cambria Math" w:eastAsia="Cambria"/>
                      <w:color w:val="000000"/>
                      <w:lang w:val="en-US"/>
                    </w:rPr>
                    <m:t>m=1</m:t>
                  </m:r>
                  <m:ctrlPr>
                    <w:rPr>
                      <w:rFonts w:ascii="Cambria Math" w:hAnsi="Cambria Math" w:eastAsia="Cambria"/>
                      <w:i/>
                      <w:iCs/>
                      <w:color w:val="000000"/>
                      <w:lang w:val="en-US"/>
                    </w:rPr>
                  </m:ctrlPr>
                </m:sub>
                <m:sup>
                  <m:r>
                    <m:rPr/>
                    <w:rPr>
                      <w:rFonts w:ascii="Cambria Math" w:hAnsi="Cambria Math" w:eastAsia="Cambria"/>
                      <w:color w:val="000000"/>
                      <w:lang w:val="en-US"/>
                    </w:rPr>
                    <m:t>M</m:t>
                  </m:r>
                  <m:ctrlPr>
                    <w:rPr>
                      <w:rFonts w:ascii="Cambria Math" w:hAnsi="Cambria Math" w:eastAsia="Cambria"/>
                      <w:i/>
                      <w:iCs/>
                      <w:color w:val="000000"/>
                      <w:lang w:val="en-US"/>
                    </w:rPr>
                  </m:ctrlPr>
                </m:sup>
                <m:e>
                  <m:acc>
                    <m:accPr>
                      <m:chr m:val="̅"/>
                      <m:ctrlPr>
                        <w:rPr>
                          <w:rFonts w:ascii="Cambria Math" w:hAnsi="Cambria Math" w:eastAsia="Cambria"/>
                          <w:i/>
                          <w:color w:val="000000"/>
                          <w:lang w:val="en-US"/>
                        </w:rPr>
                      </m:ctrlPr>
                    </m:accPr>
                    <m:e>
                      <m:r>
                        <m:rPr/>
                        <w:rPr>
                          <w:rFonts w:ascii="Cambria Math" w:hAnsi="Cambria Math" w:eastAsia="Cambria"/>
                          <w:color w:val="000000"/>
                          <w:lang w:val="en-US"/>
                        </w:rPr>
                        <m:t>EIRP</m:t>
                      </m:r>
                      <m:ctrlPr>
                        <w:rPr>
                          <w:rFonts w:ascii="Cambria Math" w:hAnsi="Cambria Math" w:eastAsia="Cambria"/>
                          <w:i/>
                          <w:color w:val="000000"/>
                          <w:lang w:val="en-US"/>
                        </w:rPr>
                      </m:ctrlPr>
                    </m:e>
                  </m:acc>
                  <m:d>
                    <m:dPr>
                      <m:ctrlPr>
                        <w:rPr>
                          <w:rFonts w:ascii="Cambria Math" w:hAnsi="Cambria Math" w:eastAsia="Cambria"/>
                          <w:i/>
                          <w:iCs/>
                          <w:color w:val="000000"/>
                          <w:lang w:val="en-US"/>
                        </w:rPr>
                      </m:ctrlPr>
                    </m:dPr>
                    <m:e>
                      <m:sSub>
                        <m:sSubPr>
                          <m:ctrlPr>
                            <w:rPr>
                              <w:rFonts w:ascii="Cambria Math" w:hAnsi="Cambria Math" w:cs="Arial"/>
                              <w:i/>
                              <w:color w:val="000000"/>
                              <w:lang w:val="en-US"/>
                            </w:rPr>
                          </m:ctrlPr>
                        </m:sSubPr>
                        <m:e>
                          <m:r>
                            <m:rPr/>
                            <w:rPr>
                              <w:rFonts w:ascii="Cambria Math" w:hAnsi="Cambria Math" w:cs="Arial"/>
                              <w:color w:val="000000"/>
                              <w:lang w:val="en-US"/>
                            </w:rPr>
                            <m:t>θ</m:t>
                          </m:r>
                          <m:ctrlPr>
                            <w:rPr>
                              <w:rFonts w:ascii="Cambria Math" w:hAnsi="Cambria Math" w:cs="Arial"/>
                              <w:i/>
                              <w:color w:val="000000"/>
                              <w:lang w:val="en-US"/>
                            </w:rPr>
                          </m:ctrlPr>
                        </m:e>
                        <m:sub>
                          <m:r>
                            <m:rPr/>
                            <w:rPr>
                              <w:rFonts w:ascii="Cambria Math" w:hAnsi="Cambria Math" w:cs="Arial"/>
                              <w:color w:val="000000"/>
                              <w:lang w:val="en-US"/>
                            </w:rPr>
                            <m:t>n</m:t>
                          </m:r>
                          <m:ctrlPr>
                            <w:rPr>
                              <w:rFonts w:ascii="Cambria Math" w:hAnsi="Cambria Math" w:cs="Arial"/>
                              <w:i/>
                              <w:color w:val="000000"/>
                              <w:lang w:val="en-US"/>
                            </w:rPr>
                          </m:ctrlPr>
                        </m:sub>
                      </m:sSub>
                      <m:r>
                        <m:rPr/>
                        <w:rPr>
                          <w:rFonts w:ascii="Cambria Math" w:hAnsi="Cambria Math" w:cs="Arial"/>
                          <w:color w:val="000000"/>
                          <w:lang w:val="en-US"/>
                        </w:rPr>
                        <m:t>,</m:t>
                      </m:r>
                      <m:sSub>
                        <m:sSubPr>
                          <m:ctrlPr>
                            <w:rPr>
                              <w:rFonts w:ascii="Cambria Math" w:hAnsi="Cambria Math" w:cs="Arial"/>
                              <w:i/>
                              <w:color w:val="000000"/>
                              <w:lang w:val="en-US"/>
                            </w:rPr>
                          </m:ctrlPr>
                        </m:sSubPr>
                        <m:e>
                          <m:r>
                            <m:rPr/>
                            <w:rPr>
                              <w:rFonts w:ascii="Cambria Math" w:hAnsi="Cambria Math" w:cs="Arial"/>
                              <w:color w:val="000000"/>
                              <w:lang w:val="en-US"/>
                            </w:rPr>
                            <m:t>φ</m:t>
                          </m:r>
                          <m:ctrlPr>
                            <w:rPr>
                              <w:rFonts w:ascii="Cambria Math" w:hAnsi="Cambria Math" w:cs="Arial"/>
                              <w:i/>
                              <w:color w:val="000000"/>
                              <w:lang w:val="en-US"/>
                            </w:rPr>
                          </m:ctrlPr>
                        </m:e>
                        <m:sub>
                          <m:r>
                            <m:rPr/>
                            <w:rPr>
                              <w:rFonts w:ascii="Cambria Math" w:hAnsi="Cambria Math" w:cs="Arial"/>
                              <w:color w:val="000000"/>
                              <w:lang w:val="en-US"/>
                            </w:rPr>
                            <m:t>m</m:t>
                          </m:r>
                          <m:ctrlPr>
                            <w:rPr>
                              <w:rFonts w:ascii="Cambria Math" w:hAnsi="Cambria Math" w:cs="Arial"/>
                              <w:i/>
                              <w:color w:val="000000"/>
                              <w:lang w:val="en-US"/>
                            </w:rPr>
                          </m:ctrlPr>
                        </m:sub>
                      </m:sSub>
                      <m:ctrlPr>
                        <w:rPr>
                          <w:rFonts w:ascii="Cambria Math" w:hAnsi="Cambria Math" w:eastAsia="Cambria"/>
                          <w:i/>
                          <w:iCs/>
                          <w:color w:val="000000"/>
                          <w:lang w:val="en-US"/>
                        </w:rPr>
                      </m:ctrlPr>
                    </m:e>
                  </m:d>
                  <m:r>
                    <m:rPr/>
                    <w:rPr>
                      <w:rFonts w:ascii="Cambria Math" w:hAnsi="Cambria Math" w:cs="Arial"/>
                      <w:color w:val="000000"/>
                      <w:lang w:val="en-US"/>
                    </w:rPr>
                    <m:t xml:space="preserve"> cos</m:t>
                  </m:r>
                  <m:d>
                    <m:dPr>
                      <m:ctrlPr>
                        <w:rPr>
                          <w:rFonts w:ascii="Cambria Math" w:hAnsi="Cambria Math"/>
                          <w:i/>
                          <w:color w:val="000000"/>
                          <w:lang w:val="en-US"/>
                        </w:rPr>
                      </m:ctrlPr>
                    </m:dPr>
                    <m:e>
                      <m:sSub>
                        <m:sSubPr>
                          <m:ctrlPr>
                            <w:rPr>
                              <w:rFonts w:ascii="Cambria Math" w:hAnsi="Cambria Math" w:cs="Arial"/>
                              <w:i/>
                              <w:color w:val="000000"/>
                              <w:lang w:val="en-US"/>
                            </w:rPr>
                          </m:ctrlPr>
                        </m:sSubPr>
                        <m:e>
                          <m:r>
                            <m:rPr/>
                            <w:rPr>
                              <w:rFonts w:ascii="Cambria Math" w:hAnsi="Cambria Math" w:cs="Arial"/>
                              <w:color w:val="000000"/>
                              <w:lang w:val="en-US"/>
                            </w:rPr>
                            <m:t>θ</m:t>
                          </m:r>
                          <m:ctrlPr>
                            <w:rPr>
                              <w:rFonts w:ascii="Cambria Math" w:hAnsi="Cambria Math" w:cs="Arial"/>
                              <w:i/>
                              <w:color w:val="000000"/>
                              <w:lang w:val="en-US"/>
                            </w:rPr>
                          </m:ctrlPr>
                        </m:e>
                        <m:sub>
                          <m:r>
                            <m:rPr/>
                            <w:rPr>
                              <w:rFonts w:ascii="Cambria Math" w:hAnsi="Cambria Math" w:cs="Arial"/>
                              <w:color w:val="000000"/>
                              <w:lang w:val="en-US"/>
                            </w:rPr>
                            <m:t>n</m:t>
                          </m:r>
                          <m:ctrlPr>
                            <w:rPr>
                              <w:rFonts w:ascii="Cambria Math" w:hAnsi="Cambria Math" w:cs="Arial"/>
                              <w:i/>
                              <w:color w:val="000000"/>
                              <w:lang w:val="en-US"/>
                            </w:rPr>
                          </m:ctrlPr>
                        </m:sub>
                      </m:sSub>
                      <m:ctrlPr>
                        <w:rPr>
                          <w:rFonts w:ascii="Cambria Math" w:hAnsi="Cambria Math"/>
                          <w:i/>
                          <w:color w:val="000000"/>
                          <w:lang w:val="en-US"/>
                        </w:rPr>
                      </m:ctrlPr>
                    </m:e>
                  </m:d>
                  <m:ctrlPr>
                    <w:rPr>
                      <w:rFonts w:ascii="Cambria Math" w:hAnsi="Cambria Math" w:eastAsia="Cambria"/>
                      <w:i/>
                      <w:iCs/>
                      <w:color w:val="000000"/>
                      <w:lang w:val="en-US"/>
                    </w:rPr>
                  </m:ctrlPr>
                </m:e>
              </m:nary>
              <m:ctrlPr>
                <w:rPr>
                  <w:rFonts w:ascii="Cambria Math" w:hAnsi="Cambria Math" w:eastAsia="Cambria"/>
                  <w:i/>
                  <w:iCs/>
                  <w:color w:val="000000"/>
                  <w:lang w:val="en-US"/>
                </w:rPr>
              </m:ctrlPr>
            </m:e>
          </m:nary>
          <m:r>
            <m:rPr/>
            <w:rPr>
              <w:rFonts w:ascii="Cambria Math" w:hAnsi="Cambria Math" w:eastAsiaTheme="minorEastAsia"/>
              <w:color w:val="000000"/>
              <w:lang w:val="en-US"/>
            </w:rPr>
            <m:t xml:space="preserve">    ,      </m:t>
          </m:r>
        </m:oMath>
      </m:oMathPara>
    </w:p>
    <w:p w14:paraId="3CB12034">
      <w:pPr>
        <w:pStyle w:val="48"/>
        <w:jc w:val="center"/>
      </w:pPr>
      <w:r>
        <w:rPr>
          <w:b w:val="0"/>
        </w:rPr>
        <w:drawing>
          <wp:inline distT="0" distB="0" distL="0" distR="0">
            <wp:extent cx="4867275" cy="2126615"/>
            <wp:effectExtent l="0" t="0" r="0" b="6985"/>
            <wp:docPr id="15"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descr="IMG_256"/>
                    <pic:cNvPicPr>
                      <a:picLocks noChangeAspect="1"/>
                    </pic:cNvPicPr>
                  </pic:nvPicPr>
                  <pic:blipFill>
                    <a:blip r:embed="rId8"/>
                    <a:stretch>
                      <a:fillRect/>
                    </a:stretch>
                  </pic:blipFill>
                  <pic:spPr>
                    <a:xfrm>
                      <a:off x="0" y="0"/>
                      <a:ext cx="4902216" cy="2141665"/>
                    </a:xfrm>
                    <a:prstGeom prst="rect">
                      <a:avLst/>
                    </a:prstGeom>
                    <a:noFill/>
                    <a:ln w="9525">
                      <a:noFill/>
                    </a:ln>
                  </pic:spPr>
                </pic:pic>
              </a:graphicData>
            </a:graphic>
          </wp:inline>
        </w:drawing>
      </w:r>
    </w:p>
    <w:p w14:paraId="2D595664">
      <w:pPr>
        <w:jc w:val="center"/>
        <w:rPr>
          <w:rFonts w:hint="eastAsia"/>
          <w:lang w:val="en-US" w:eastAsia="zh-CN"/>
        </w:rPr>
      </w:pPr>
      <w:r>
        <w:rPr>
          <w:rFonts w:hint="eastAsia"/>
          <w:lang w:val="en-US" w:eastAsia="zh-CN"/>
        </w:rPr>
        <w:t xml:space="preserve">Table 2.1-1. The illustration of </w:t>
      </w:r>
      <w:r>
        <w:rPr>
          <w:lang w:val="en-US"/>
        </w:rPr>
        <w:t>test beam set</w:t>
      </w:r>
      <w:r>
        <w:rPr>
          <w:rFonts w:hint="eastAsia"/>
          <w:lang w:val="en-US" w:eastAsia="zh-CN"/>
        </w:rPr>
        <w:t xml:space="preserve"> for U6GHz BS EEIRP mask</w:t>
      </w:r>
    </w:p>
    <w:p w14:paraId="25E10A8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val="0"/>
          <w:bCs w:val="0"/>
          <w:lang w:val="en-US" w:eastAsia="zh-CN"/>
        </w:rPr>
        <w:t>In the Rel-19, the test beams is equally assumed in the specification based on the assumptions of target serving UE also equally distributed within the geographical coverage regions, then the proposed test beam pattern could well mimic the actual BS operation mode. However this might be not always applicable considering the emerging new service (e.g. sensing service or UAV service in the near future to support the low altitude economy, eVTOL, express Delivery based UAV, other sensing use case) as shown in Figure 2.1-3.</w:t>
      </w:r>
    </w:p>
    <w:p w14:paraId="34CB84D8">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260465" cy="1007745"/>
            <wp:effectExtent l="0" t="0" r="6985" b="190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6260465" cy="1007745"/>
                    </a:xfrm>
                    <a:prstGeom prst="rect">
                      <a:avLst/>
                    </a:prstGeom>
                    <a:noFill/>
                    <a:ln w="9525">
                      <a:noFill/>
                    </a:ln>
                  </pic:spPr>
                </pic:pic>
              </a:graphicData>
            </a:graphic>
          </wp:inline>
        </w:drawing>
      </w:r>
    </w:p>
    <w:p w14:paraId="02FB46A1">
      <w:pPr>
        <w:jc w:val="center"/>
        <w:rPr>
          <w:rFonts w:hint="eastAsia"/>
          <w:lang w:val="en-US" w:eastAsia="zh-CN"/>
        </w:rPr>
      </w:pPr>
      <w:r>
        <w:rPr>
          <w:rFonts w:hint="eastAsia"/>
          <w:lang w:val="en-US" w:eastAsia="zh-CN"/>
        </w:rPr>
        <w:t xml:space="preserve">Table </w:t>
      </w:r>
      <w:r>
        <w:rPr>
          <w:rFonts w:hint="eastAsia"/>
          <w:b w:val="0"/>
          <w:bCs w:val="0"/>
          <w:lang w:val="en-US" w:eastAsia="zh-CN"/>
        </w:rPr>
        <w:t>2.1-2</w:t>
      </w:r>
      <w:r>
        <w:rPr>
          <w:rFonts w:hint="eastAsia"/>
          <w:lang w:val="en-US" w:eastAsia="zh-CN"/>
        </w:rPr>
        <w:t>. The illustration of the operation beams equally distributed across different slots</w:t>
      </w:r>
    </w:p>
    <w:p w14:paraId="5C8537C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val="0"/>
          <w:bCs w:val="0"/>
          <w:lang w:val="en-US" w:eastAsia="zh-CN"/>
        </w:rPr>
        <w:t xml:space="preserve">As shown in Figure 2.1-3, operation beam in red color in slot 2 in certain periodicity is intended to provide the service for sensing or UAV service, this is obvious that the weighting factor and probability of such kind of sensing/UAV beams is expected to be more sparse and different from the other communication beams. Therefore, for the conformance testing of U6GHz EEIRP mask in 6G phase, we </w:t>
      </w:r>
      <w:r>
        <w:rPr>
          <w:rFonts w:hint="eastAsia"/>
          <w:lang w:val="en-US" w:eastAsia="zh-CN"/>
        </w:rPr>
        <w:t>propose to consider the unequally distributed test beams across the whole coverage regions (e.g. 6GR BS need to provide the sensing or UAV service with periodic beams steering upwards) in addition to the equally distributed test beams in Rel-19.</w:t>
      </w:r>
    </w:p>
    <w:p w14:paraId="729AAA31">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260465" cy="1208405"/>
            <wp:effectExtent l="0" t="0" r="6985" b="11430"/>
            <wp:docPr id="1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IMG_256"/>
                    <pic:cNvPicPr>
                      <a:picLocks noChangeAspect="1"/>
                    </pic:cNvPicPr>
                  </pic:nvPicPr>
                  <pic:blipFill>
                    <a:blip r:embed="rId10"/>
                    <a:stretch>
                      <a:fillRect/>
                    </a:stretch>
                  </pic:blipFill>
                  <pic:spPr>
                    <a:xfrm>
                      <a:off x="0" y="0"/>
                      <a:ext cx="6260465" cy="1208405"/>
                    </a:xfrm>
                    <a:prstGeom prst="rect">
                      <a:avLst/>
                    </a:prstGeom>
                    <a:noFill/>
                    <a:ln w="9525">
                      <a:noFill/>
                    </a:ln>
                  </pic:spPr>
                </pic:pic>
              </a:graphicData>
            </a:graphic>
          </wp:inline>
        </w:drawing>
      </w:r>
    </w:p>
    <w:p w14:paraId="38262805">
      <w:pPr>
        <w:jc w:val="center"/>
        <w:rPr>
          <w:rFonts w:hint="default"/>
          <w:lang w:val="en-US" w:eastAsia="zh-CN"/>
        </w:rPr>
      </w:pPr>
      <w:r>
        <w:rPr>
          <w:rFonts w:hint="eastAsia"/>
          <w:lang w:val="en-US" w:eastAsia="zh-CN"/>
        </w:rPr>
        <w:t>Table 2.1-3. The illustration of the operation beams unequally distributed across different slots (e.g. to provide the sensing or UAV service with periodic beams steering upwards)</w:t>
      </w:r>
      <m:oMath>
        <m:r>
          <m:rPr/>
          <w:rPr>
            <w:rFonts w:ascii="Cambria Math" w:hAnsi="Cambria Math" w:eastAsiaTheme="minorEastAsia"/>
            <w:color w:val="000000"/>
            <w:lang w:val="en-US"/>
          </w:rPr>
          <m:t xml:space="preserve">                 </m:t>
        </m:r>
      </m:oMath>
    </w:p>
    <w:p w14:paraId="37CC72E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lang w:val="en-US" w:eastAsia="zh-CN"/>
        </w:rPr>
      </w:pPr>
      <w:r>
        <w:rPr>
          <w:rFonts w:hint="eastAsia"/>
          <w:b/>
          <w:bCs/>
          <w:highlight w:val="none"/>
          <w:lang w:val="en-US" w:eastAsia="zh-CN"/>
        </w:rPr>
        <w:t>Proposal 1</w:t>
      </w:r>
      <w:r>
        <w:rPr>
          <w:rFonts w:hint="eastAsia"/>
          <w:highlight w:val="none"/>
          <w:lang w:val="en-US" w:eastAsia="zh-CN"/>
        </w:rPr>
        <w:t>: for the conformance testing of U6GHz EEIRP mask in 6G, propose to consider the unequally distributed test beams across the whole coverage regions from the time domain (e.g. 6GR BS need to provide the sensing or UAV service with periodic beams steering upwards) in addition to the equally distributed test beams in Rel-19.</w:t>
      </w:r>
    </w:p>
    <w:bookmarkEnd w:id="1"/>
    <w:bookmarkEnd w:id="2"/>
    <w:bookmarkEnd w:id="3"/>
    <w:bookmarkEnd w:id="4"/>
    <w:p w14:paraId="5159F7DC">
      <w:pPr>
        <w:pStyle w:val="58"/>
        <w:tabs>
          <w:tab w:val="left" w:pos="567"/>
          <w:tab w:val="clear" w:pos="1985"/>
        </w:tabs>
        <w:adjustRightInd w:val="0"/>
        <w:ind w:left="510" w:hanging="510"/>
      </w:pPr>
      <w:r>
        <w:t>Conclusions</w:t>
      </w:r>
    </w:p>
    <w:p w14:paraId="0A787C34">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b w:val="0"/>
          <w:bCs w:val="0"/>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w:t>
      </w:r>
      <w:r>
        <w:rPr>
          <w:rFonts w:hint="eastAsia"/>
          <w:sz w:val="20"/>
          <w:szCs w:val="20"/>
          <w:lang w:val="en-US" w:eastAsia="zh-CN"/>
        </w:rPr>
        <w:t>6GR U6GHz conformance testing</w:t>
      </w:r>
      <w:r>
        <w:rPr>
          <w:rFonts w:hint="eastAsia"/>
          <w:lang w:val="en-US" w:eastAsia="zh-CN"/>
        </w:rPr>
        <w:t xml:space="preserve"> </w:t>
      </w:r>
      <w:r>
        <w:rPr>
          <w:rFonts w:hint="eastAsia" w:eastAsiaTheme="minorEastAsia"/>
          <w:lang w:val="en-US" w:eastAsia="zh-CN"/>
        </w:rPr>
        <w:t xml:space="preserve">and proposals are made as following: </w:t>
      </w:r>
      <w:r>
        <w:rPr>
          <w:rFonts w:hint="eastAsia"/>
          <w:b w:val="0"/>
          <w:bCs w:val="0"/>
          <w:lang w:val="en-US" w:eastAsia="zh-CN"/>
        </w:rPr>
        <w:t xml:space="preserve"> </w:t>
      </w:r>
    </w:p>
    <w:p w14:paraId="2334507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b w:val="0"/>
          <w:bCs w:val="0"/>
          <w:lang w:val="en-US" w:eastAsia="zh-CN"/>
        </w:rPr>
      </w:pPr>
      <w:r>
        <w:rPr>
          <w:rFonts w:hint="eastAsia"/>
          <w:b/>
          <w:bCs/>
          <w:highlight w:val="none"/>
          <w:lang w:val="en-US" w:eastAsia="zh-CN"/>
        </w:rPr>
        <w:t>Proposal 1</w:t>
      </w:r>
      <w:r>
        <w:rPr>
          <w:rFonts w:hint="eastAsia"/>
          <w:highlight w:val="none"/>
          <w:lang w:val="en-US" w:eastAsia="zh-CN"/>
        </w:rPr>
        <w:t>: for the conformance testing of U6GHz EEIRP mask in 6G, propose to consider the unequally distributed test beams across the whole coverage regions from the time domain (e.g. 6GR BS need to provide the sensing or UAV service with periodic beams steering upwards) in addition to the equally distributed test beams in Rel-19.</w:t>
      </w:r>
      <w:r>
        <w:rPr>
          <w:rFonts w:hint="eastAsia" w:eastAsiaTheme="minorEastAsia"/>
          <w:lang w:val="en-US" w:eastAsia="zh-CN"/>
        </w:rPr>
        <w:t xml:space="preserve"> </w:t>
      </w:r>
      <w:r>
        <w:rPr>
          <w:rFonts w:hint="eastAsia"/>
          <w:b w:val="0"/>
          <w:bCs w:val="0"/>
          <w:lang w:val="en-US" w:eastAsia="zh-CN"/>
        </w:rPr>
        <w:t xml:space="preserve"> </w:t>
      </w:r>
    </w:p>
    <w:p w14:paraId="4F5867B4">
      <w:pPr>
        <w:pStyle w:val="58"/>
        <w:tabs>
          <w:tab w:val="left" w:pos="567"/>
          <w:tab w:val="clear" w:pos="1985"/>
        </w:tabs>
        <w:adjustRightInd w:val="0"/>
        <w:ind w:left="510" w:hanging="510"/>
      </w:pPr>
      <w:r>
        <w:t>References</w:t>
      </w:r>
    </w:p>
    <w:p w14:paraId="150F96DB">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14:paraId="4066E63E">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14:paraId="4A684579">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14:paraId="2FADA241">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14:paraId="026F4ECA">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14:paraId="0D054D45">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14:paraId="7BFE1DC0">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14:paraId="7F0A42D0">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14:paraId="0AC93C8F">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14:paraId="056DF0F8">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83A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A57207B"/>
    <w:multiLevelType w:val="multilevel"/>
    <w:tmpl w:val="1A57207B"/>
    <w:lvl w:ilvl="0" w:tentative="0">
      <w:start w:val="10"/>
      <w:numFmt w:val="bullet"/>
      <w:lvlText w:val="-"/>
      <w:lvlJc w:val="left"/>
      <w:pPr>
        <w:ind w:left="720" w:hanging="360"/>
      </w:pPr>
      <w:rPr>
        <w:rFonts w:hint="default" w:ascii="Arial" w:hAnsi="Arial" w:eastAsia="宋体" w:cs="Arial"/>
        <w:color w:val="auto"/>
        <w:sz w:val="2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3">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7"/>
  </w:num>
  <w:num w:numId="3">
    <w:abstractNumId w:val="6"/>
  </w:num>
  <w:num w:numId="4">
    <w:abstractNumId w:val="4"/>
  </w:num>
  <w:num w:numId="5">
    <w:abstractNumId w:val="2"/>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A44"/>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72A03"/>
    <w:rsid w:val="011901E4"/>
    <w:rsid w:val="011B7946"/>
    <w:rsid w:val="01207B0A"/>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6618A"/>
    <w:rsid w:val="03C80D80"/>
    <w:rsid w:val="03C86237"/>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A68C4"/>
    <w:rsid w:val="04FB4499"/>
    <w:rsid w:val="04FB71D2"/>
    <w:rsid w:val="04FE63B4"/>
    <w:rsid w:val="04FF76AB"/>
    <w:rsid w:val="05010225"/>
    <w:rsid w:val="050164A3"/>
    <w:rsid w:val="050E236F"/>
    <w:rsid w:val="051034CD"/>
    <w:rsid w:val="051F43BC"/>
    <w:rsid w:val="052432F7"/>
    <w:rsid w:val="05280A89"/>
    <w:rsid w:val="052A278C"/>
    <w:rsid w:val="052D14A7"/>
    <w:rsid w:val="0530678A"/>
    <w:rsid w:val="05367F8C"/>
    <w:rsid w:val="05391126"/>
    <w:rsid w:val="0539563E"/>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73421"/>
    <w:rsid w:val="05AC4062"/>
    <w:rsid w:val="05AD341A"/>
    <w:rsid w:val="05AF3B52"/>
    <w:rsid w:val="05B11A20"/>
    <w:rsid w:val="05B173DC"/>
    <w:rsid w:val="05B2719F"/>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27264B"/>
    <w:rsid w:val="082A0972"/>
    <w:rsid w:val="08340D36"/>
    <w:rsid w:val="0835476E"/>
    <w:rsid w:val="08367FC2"/>
    <w:rsid w:val="08391661"/>
    <w:rsid w:val="084126B6"/>
    <w:rsid w:val="084D03F1"/>
    <w:rsid w:val="084E0029"/>
    <w:rsid w:val="08510EF1"/>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6732"/>
    <w:rsid w:val="0902032A"/>
    <w:rsid w:val="090B10A0"/>
    <w:rsid w:val="09127CF4"/>
    <w:rsid w:val="09157ADC"/>
    <w:rsid w:val="09157E5B"/>
    <w:rsid w:val="091C6E55"/>
    <w:rsid w:val="092073EA"/>
    <w:rsid w:val="092234B5"/>
    <w:rsid w:val="09226860"/>
    <w:rsid w:val="092275F6"/>
    <w:rsid w:val="092816B4"/>
    <w:rsid w:val="092B4153"/>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C4A90"/>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A77D7"/>
    <w:rsid w:val="0A0E6073"/>
    <w:rsid w:val="0A113C31"/>
    <w:rsid w:val="0A116C04"/>
    <w:rsid w:val="0A13335B"/>
    <w:rsid w:val="0A145E2C"/>
    <w:rsid w:val="0A1A2E51"/>
    <w:rsid w:val="0A206DCD"/>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F3491F"/>
    <w:rsid w:val="0AFC521E"/>
    <w:rsid w:val="0AFE0751"/>
    <w:rsid w:val="0B0363ED"/>
    <w:rsid w:val="0B052C79"/>
    <w:rsid w:val="0B0569D0"/>
    <w:rsid w:val="0B110AC0"/>
    <w:rsid w:val="0B112BB9"/>
    <w:rsid w:val="0B1157EF"/>
    <w:rsid w:val="0B1232AE"/>
    <w:rsid w:val="0B155EAD"/>
    <w:rsid w:val="0B1765E0"/>
    <w:rsid w:val="0B180242"/>
    <w:rsid w:val="0B185CF6"/>
    <w:rsid w:val="0B1934B2"/>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7B5F99"/>
    <w:rsid w:val="0B8033F4"/>
    <w:rsid w:val="0B815649"/>
    <w:rsid w:val="0B8307A0"/>
    <w:rsid w:val="0B841D24"/>
    <w:rsid w:val="0B857CF5"/>
    <w:rsid w:val="0B884E90"/>
    <w:rsid w:val="0B892782"/>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130B8"/>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3E178C"/>
    <w:rsid w:val="0C403756"/>
    <w:rsid w:val="0C455380"/>
    <w:rsid w:val="0C4D7C21"/>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33015"/>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84323"/>
    <w:rsid w:val="0D8F1433"/>
    <w:rsid w:val="0D904522"/>
    <w:rsid w:val="0D972438"/>
    <w:rsid w:val="0D976014"/>
    <w:rsid w:val="0D98777A"/>
    <w:rsid w:val="0D9C4EA1"/>
    <w:rsid w:val="0DA060E8"/>
    <w:rsid w:val="0DA21DEB"/>
    <w:rsid w:val="0DA30F8A"/>
    <w:rsid w:val="0DA5089B"/>
    <w:rsid w:val="0DA57AAE"/>
    <w:rsid w:val="0DA67711"/>
    <w:rsid w:val="0DB02162"/>
    <w:rsid w:val="0DB44F15"/>
    <w:rsid w:val="0DB51551"/>
    <w:rsid w:val="0DB76EF8"/>
    <w:rsid w:val="0DB8079D"/>
    <w:rsid w:val="0DB91E02"/>
    <w:rsid w:val="0DC21F49"/>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F0E9A"/>
    <w:rsid w:val="0E400D03"/>
    <w:rsid w:val="0E406D5C"/>
    <w:rsid w:val="0E485C9B"/>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6442D"/>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A11695"/>
    <w:rsid w:val="0FA26E81"/>
    <w:rsid w:val="0FA615E1"/>
    <w:rsid w:val="0FAD0019"/>
    <w:rsid w:val="0FAD3299"/>
    <w:rsid w:val="0FAD3F5A"/>
    <w:rsid w:val="0FAE4E7B"/>
    <w:rsid w:val="0FB261C9"/>
    <w:rsid w:val="0FB31343"/>
    <w:rsid w:val="0FB714C3"/>
    <w:rsid w:val="0FBB04C6"/>
    <w:rsid w:val="0FBF2BE4"/>
    <w:rsid w:val="0FBF642C"/>
    <w:rsid w:val="0FC06D12"/>
    <w:rsid w:val="0FC12836"/>
    <w:rsid w:val="0FC427AC"/>
    <w:rsid w:val="0FD95333"/>
    <w:rsid w:val="0FDC57ED"/>
    <w:rsid w:val="0FDD44E9"/>
    <w:rsid w:val="0FDE143F"/>
    <w:rsid w:val="0FE0698F"/>
    <w:rsid w:val="0FEA3F98"/>
    <w:rsid w:val="0FEB0378"/>
    <w:rsid w:val="0FEC322B"/>
    <w:rsid w:val="0FEC6EF6"/>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324"/>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5416F0"/>
    <w:rsid w:val="11562BF2"/>
    <w:rsid w:val="11576536"/>
    <w:rsid w:val="115A0E16"/>
    <w:rsid w:val="115F7B83"/>
    <w:rsid w:val="11607F73"/>
    <w:rsid w:val="11613A1B"/>
    <w:rsid w:val="116A3BB2"/>
    <w:rsid w:val="116D203D"/>
    <w:rsid w:val="116D25D5"/>
    <w:rsid w:val="11703DE0"/>
    <w:rsid w:val="117338ED"/>
    <w:rsid w:val="117561EB"/>
    <w:rsid w:val="11763776"/>
    <w:rsid w:val="11775899"/>
    <w:rsid w:val="117811D2"/>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E4369D"/>
    <w:rsid w:val="11E608FC"/>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502219"/>
    <w:rsid w:val="12522A20"/>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6CFD"/>
    <w:rsid w:val="12A45BB3"/>
    <w:rsid w:val="12A9130F"/>
    <w:rsid w:val="12AB0CA2"/>
    <w:rsid w:val="12AC51B9"/>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17569"/>
    <w:rsid w:val="134904A6"/>
    <w:rsid w:val="134D334B"/>
    <w:rsid w:val="134F0723"/>
    <w:rsid w:val="13564F52"/>
    <w:rsid w:val="1357258A"/>
    <w:rsid w:val="13573133"/>
    <w:rsid w:val="135845C3"/>
    <w:rsid w:val="135E44C2"/>
    <w:rsid w:val="135F5E4E"/>
    <w:rsid w:val="1377654A"/>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C17C7"/>
    <w:rsid w:val="13FD4FCC"/>
    <w:rsid w:val="13FE285E"/>
    <w:rsid w:val="1400502D"/>
    <w:rsid w:val="140137CB"/>
    <w:rsid w:val="14083E7D"/>
    <w:rsid w:val="140D5E1A"/>
    <w:rsid w:val="1410395F"/>
    <w:rsid w:val="14127A7E"/>
    <w:rsid w:val="141624C3"/>
    <w:rsid w:val="141B08A6"/>
    <w:rsid w:val="141D437D"/>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A617A0"/>
    <w:rsid w:val="14A75504"/>
    <w:rsid w:val="14A82A63"/>
    <w:rsid w:val="14A86EA4"/>
    <w:rsid w:val="14AC358C"/>
    <w:rsid w:val="14AD2764"/>
    <w:rsid w:val="14AF76CB"/>
    <w:rsid w:val="14B227CC"/>
    <w:rsid w:val="14B44CE1"/>
    <w:rsid w:val="14B76730"/>
    <w:rsid w:val="14BB6147"/>
    <w:rsid w:val="14C42DC7"/>
    <w:rsid w:val="14C767C8"/>
    <w:rsid w:val="14C8078D"/>
    <w:rsid w:val="14C96F21"/>
    <w:rsid w:val="14D40EDF"/>
    <w:rsid w:val="14DA401C"/>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32BB5"/>
    <w:rsid w:val="15E73FF8"/>
    <w:rsid w:val="15F5110D"/>
    <w:rsid w:val="15F53F0F"/>
    <w:rsid w:val="15F5735F"/>
    <w:rsid w:val="15FA64BF"/>
    <w:rsid w:val="160A3803"/>
    <w:rsid w:val="160B5ABA"/>
    <w:rsid w:val="160C437B"/>
    <w:rsid w:val="161033BE"/>
    <w:rsid w:val="16147F08"/>
    <w:rsid w:val="161533B2"/>
    <w:rsid w:val="16160429"/>
    <w:rsid w:val="161C3234"/>
    <w:rsid w:val="16291EAA"/>
    <w:rsid w:val="162F0727"/>
    <w:rsid w:val="16302232"/>
    <w:rsid w:val="163562A4"/>
    <w:rsid w:val="163A584C"/>
    <w:rsid w:val="163D0D06"/>
    <w:rsid w:val="164051D9"/>
    <w:rsid w:val="1641433F"/>
    <w:rsid w:val="16461969"/>
    <w:rsid w:val="164875ED"/>
    <w:rsid w:val="16491459"/>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83B61"/>
    <w:rsid w:val="176C704A"/>
    <w:rsid w:val="177653C5"/>
    <w:rsid w:val="17771FF6"/>
    <w:rsid w:val="17773DA4"/>
    <w:rsid w:val="17781A92"/>
    <w:rsid w:val="177C13BA"/>
    <w:rsid w:val="177F6BC3"/>
    <w:rsid w:val="17844C56"/>
    <w:rsid w:val="179559A6"/>
    <w:rsid w:val="17957384"/>
    <w:rsid w:val="17977680"/>
    <w:rsid w:val="17981331"/>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620D99"/>
    <w:rsid w:val="18674D45"/>
    <w:rsid w:val="1868379C"/>
    <w:rsid w:val="186B15D6"/>
    <w:rsid w:val="186C1DBE"/>
    <w:rsid w:val="186C5153"/>
    <w:rsid w:val="186E738D"/>
    <w:rsid w:val="186F199F"/>
    <w:rsid w:val="186F36A8"/>
    <w:rsid w:val="187640ED"/>
    <w:rsid w:val="18804AA7"/>
    <w:rsid w:val="18850ACD"/>
    <w:rsid w:val="18893D8F"/>
    <w:rsid w:val="188A6B3F"/>
    <w:rsid w:val="188C347D"/>
    <w:rsid w:val="188C4F53"/>
    <w:rsid w:val="189D783A"/>
    <w:rsid w:val="18A16B9A"/>
    <w:rsid w:val="18A1732B"/>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231FF"/>
    <w:rsid w:val="19B72B7E"/>
    <w:rsid w:val="19B94DE5"/>
    <w:rsid w:val="19BB7983"/>
    <w:rsid w:val="19CA4702"/>
    <w:rsid w:val="19CC487B"/>
    <w:rsid w:val="19D01D27"/>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B61A2"/>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35223"/>
    <w:rsid w:val="1AD55B02"/>
    <w:rsid w:val="1AD64605"/>
    <w:rsid w:val="1AD71252"/>
    <w:rsid w:val="1AD972F0"/>
    <w:rsid w:val="1ADA6731"/>
    <w:rsid w:val="1ADB6216"/>
    <w:rsid w:val="1ADC2627"/>
    <w:rsid w:val="1AE23C2A"/>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4365C"/>
    <w:rsid w:val="1DB835A9"/>
    <w:rsid w:val="1DC254A8"/>
    <w:rsid w:val="1DC31AF1"/>
    <w:rsid w:val="1DC603E1"/>
    <w:rsid w:val="1DEC45ED"/>
    <w:rsid w:val="1DF223D6"/>
    <w:rsid w:val="1DF2745E"/>
    <w:rsid w:val="1DF32FB4"/>
    <w:rsid w:val="1DF42A93"/>
    <w:rsid w:val="1DF63C75"/>
    <w:rsid w:val="1DF71857"/>
    <w:rsid w:val="1DF71982"/>
    <w:rsid w:val="1DF81251"/>
    <w:rsid w:val="1DF8498F"/>
    <w:rsid w:val="1E02615D"/>
    <w:rsid w:val="1E093D7D"/>
    <w:rsid w:val="1E122A78"/>
    <w:rsid w:val="1E143B97"/>
    <w:rsid w:val="1E183872"/>
    <w:rsid w:val="1E1D56A5"/>
    <w:rsid w:val="1E1D7E95"/>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3541"/>
    <w:rsid w:val="1EA96ECE"/>
    <w:rsid w:val="1EAF4E87"/>
    <w:rsid w:val="1EB04FC8"/>
    <w:rsid w:val="1EB50D64"/>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4F1C62"/>
    <w:rsid w:val="1F5174F6"/>
    <w:rsid w:val="1F5324C1"/>
    <w:rsid w:val="1F533349"/>
    <w:rsid w:val="1F561E2A"/>
    <w:rsid w:val="1F593640"/>
    <w:rsid w:val="1F5E088A"/>
    <w:rsid w:val="1F5F1E2B"/>
    <w:rsid w:val="1F661994"/>
    <w:rsid w:val="1F672A0E"/>
    <w:rsid w:val="1F6833F6"/>
    <w:rsid w:val="1F68659A"/>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B1E13"/>
    <w:rsid w:val="203C2005"/>
    <w:rsid w:val="20402758"/>
    <w:rsid w:val="20417F77"/>
    <w:rsid w:val="20420995"/>
    <w:rsid w:val="20447B3E"/>
    <w:rsid w:val="204619A3"/>
    <w:rsid w:val="20494F9C"/>
    <w:rsid w:val="204D7AED"/>
    <w:rsid w:val="204F595B"/>
    <w:rsid w:val="20532924"/>
    <w:rsid w:val="205A627C"/>
    <w:rsid w:val="206301A7"/>
    <w:rsid w:val="20642E89"/>
    <w:rsid w:val="2067334B"/>
    <w:rsid w:val="206C2914"/>
    <w:rsid w:val="206F7CD5"/>
    <w:rsid w:val="20701017"/>
    <w:rsid w:val="207778B9"/>
    <w:rsid w:val="207A2037"/>
    <w:rsid w:val="207E34E5"/>
    <w:rsid w:val="20850EC1"/>
    <w:rsid w:val="208539D6"/>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21A35"/>
    <w:rsid w:val="20F546B7"/>
    <w:rsid w:val="20F61771"/>
    <w:rsid w:val="20F667B9"/>
    <w:rsid w:val="20F85F56"/>
    <w:rsid w:val="20F90A4D"/>
    <w:rsid w:val="20FB68DB"/>
    <w:rsid w:val="20FB7568"/>
    <w:rsid w:val="20FE7CFF"/>
    <w:rsid w:val="21065641"/>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D54AD"/>
    <w:rsid w:val="213D605E"/>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2448"/>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21B37"/>
    <w:rsid w:val="2208516B"/>
    <w:rsid w:val="2209399D"/>
    <w:rsid w:val="22097CEF"/>
    <w:rsid w:val="22101F8E"/>
    <w:rsid w:val="221C1E74"/>
    <w:rsid w:val="221C3EC6"/>
    <w:rsid w:val="221E498F"/>
    <w:rsid w:val="222165C4"/>
    <w:rsid w:val="222422D1"/>
    <w:rsid w:val="2225227E"/>
    <w:rsid w:val="222A2727"/>
    <w:rsid w:val="222E319F"/>
    <w:rsid w:val="222E6801"/>
    <w:rsid w:val="222F381A"/>
    <w:rsid w:val="22315922"/>
    <w:rsid w:val="22343124"/>
    <w:rsid w:val="22405E06"/>
    <w:rsid w:val="22454AA6"/>
    <w:rsid w:val="2246485E"/>
    <w:rsid w:val="224E39DE"/>
    <w:rsid w:val="224E74D0"/>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2F02"/>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160BB"/>
    <w:rsid w:val="23D2612A"/>
    <w:rsid w:val="23D33566"/>
    <w:rsid w:val="23D53925"/>
    <w:rsid w:val="23D9762E"/>
    <w:rsid w:val="23DA78F1"/>
    <w:rsid w:val="23DF2C6B"/>
    <w:rsid w:val="23DF33FD"/>
    <w:rsid w:val="23E14E6C"/>
    <w:rsid w:val="23E173A1"/>
    <w:rsid w:val="23E32EED"/>
    <w:rsid w:val="23E3610D"/>
    <w:rsid w:val="23E46C65"/>
    <w:rsid w:val="23E52298"/>
    <w:rsid w:val="23E94462"/>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3780"/>
    <w:rsid w:val="24BD38BA"/>
    <w:rsid w:val="24C0685F"/>
    <w:rsid w:val="24C34ACD"/>
    <w:rsid w:val="24CD6DBE"/>
    <w:rsid w:val="24D20A06"/>
    <w:rsid w:val="24D354AD"/>
    <w:rsid w:val="24D367FD"/>
    <w:rsid w:val="24D51CDF"/>
    <w:rsid w:val="24E16B97"/>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B0F56"/>
    <w:rsid w:val="25A77DD4"/>
    <w:rsid w:val="25AA10F0"/>
    <w:rsid w:val="25AA19B9"/>
    <w:rsid w:val="25AD3F3E"/>
    <w:rsid w:val="25AE0C1E"/>
    <w:rsid w:val="25B111B0"/>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61511"/>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C1520"/>
    <w:rsid w:val="26BD1ECD"/>
    <w:rsid w:val="26C36DE5"/>
    <w:rsid w:val="26C863CA"/>
    <w:rsid w:val="26C9404D"/>
    <w:rsid w:val="26CC0194"/>
    <w:rsid w:val="26CD53A8"/>
    <w:rsid w:val="26D02567"/>
    <w:rsid w:val="26D323BB"/>
    <w:rsid w:val="26D45590"/>
    <w:rsid w:val="26D83439"/>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C06D17"/>
    <w:rsid w:val="27C66099"/>
    <w:rsid w:val="27C70430"/>
    <w:rsid w:val="27CA7CDA"/>
    <w:rsid w:val="27CD4F03"/>
    <w:rsid w:val="27D30C3C"/>
    <w:rsid w:val="27D747BE"/>
    <w:rsid w:val="27DF1D24"/>
    <w:rsid w:val="27E30D7E"/>
    <w:rsid w:val="27E43C95"/>
    <w:rsid w:val="27E60CAF"/>
    <w:rsid w:val="27EC6404"/>
    <w:rsid w:val="27F07B94"/>
    <w:rsid w:val="27F20EFC"/>
    <w:rsid w:val="27F356C9"/>
    <w:rsid w:val="27FB11A8"/>
    <w:rsid w:val="27FB4685"/>
    <w:rsid w:val="27FE4240"/>
    <w:rsid w:val="27FF2D7D"/>
    <w:rsid w:val="280008FF"/>
    <w:rsid w:val="28050D91"/>
    <w:rsid w:val="28081174"/>
    <w:rsid w:val="280A73A7"/>
    <w:rsid w:val="280B0292"/>
    <w:rsid w:val="281035C6"/>
    <w:rsid w:val="28140E2A"/>
    <w:rsid w:val="281D44F4"/>
    <w:rsid w:val="2824417F"/>
    <w:rsid w:val="28255041"/>
    <w:rsid w:val="282633A8"/>
    <w:rsid w:val="282835C4"/>
    <w:rsid w:val="282B1213"/>
    <w:rsid w:val="282B59A2"/>
    <w:rsid w:val="282B63AA"/>
    <w:rsid w:val="282C45B9"/>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DD72CB"/>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25246"/>
    <w:rsid w:val="2946144E"/>
    <w:rsid w:val="2946760C"/>
    <w:rsid w:val="29485EB7"/>
    <w:rsid w:val="29487D92"/>
    <w:rsid w:val="294A30C6"/>
    <w:rsid w:val="294A5BC8"/>
    <w:rsid w:val="29504176"/>
    <w:rsid w:val="29512FCE"/>
    <w:rsid w:val="29572948"/>
    <w:rsid w:val="295959FF"/>
    <w:rsid w:val="295B52D4"/>
    <w:rsid w:val="295D4808"/>
    <w:rsid w:val="296865F6"/>
    <w:rsid w:val="296B20A7"/>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92B4F"/>
    <w:rsid w:val="2AFC13F9"/>
    <w:rsid w:val="2AFC24E6"/>
    <w:rsid w:val="2AFC4894"/>
    <w:rsid w:val="2B011EAB"/>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8311DA"/>
    <w:rsid w:val="2B8759DF"/>
    <w:rsid w:val="2B8B34AB"/>
    <w:rsid w:val="2B914C5E"/>
    <w:rsid w:val="2BA252E6"/>
    <w:rsid w:val="2BA53554"/>
    <w:rsid w:val="2BAC4FE7"/>
    <w:rsid w:val="2BAF057C"/>
    <w:rsid w:val="2BB0363B"/>
    <w:rsid w:val="2BB44220"/>
    <w:rsid w:val="2BB61EA7"/>
    <w:rsid w:val="2BBA09D7"/>
    <w:rsid w:val="2BBA6EF5"/>
    <w:rsid w:val="2BBD5502"/>
    <w:rsid w:val="2BBE53B4"/>
    <w:rsid w:val="2BC03979"/>
    <w:rsid w:val="2BC11E13"/>
    <w:rsid w:val="2BC42FBB"/>
    <w:rsid w:val="2BC873B9"/>
    <w:rsid w:val="2BC929C8"/>
    <w:rsid w:val="2BC941AF"/>
    <w:rsid w:val="2BD01C8D"/>
    <w:rsid w:val="2BD63337"/>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82697"/>
    <w:rsid w:val="2C987164"/>
    <w:rsid w:val="2C9A28D3"/>
    <w:rsid w:val="2C9F1C78"/>
    <w:rsid w:val="2CA34EDF"/>
    <w:rsid w:val="2CAA26C8"/>
    <w:rsid w:val="2CBC4209"/>
    <w:rsid w:val="2CC12D54"/>
    <w:rsid w:val="2CC9742A"/>
    <w:rsid w:val="2CCA5B7B"/>
    <w:rsid w:val="2CCB1415"/>
    <w:rsid w:val="2CCB3003"/>
    <w:rsid w:val="2CD17849"/>
    <w:rsid w:val="2CD27B2F"/>
    <w:rsid w:val="2CD47078"/>
    <w:rsid w:val="2CDA4FDA"/>
    <w:rsid w:val="2CDC7091"/>
    <w:rsid w:val="2CE128DC"/>
    <w:rsid w:val="2CE16D71"/>
    <w:rsid w:val="2CE27F26"/>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70975"/>
    <w:rsid w:val="2D7A06F1"/>
    <w:rsid w:val="2D8151A4"/>
    <w:rsid w:val="2D843B38"/>
    <w:rsid w:val="2D8A7B9A"/>
    <w:rsid w:val="2D8B7F03"/>
    <w:rsid w:val="2D953FDA"/>
    <w:rsid w:val="2DA02E9C"/>
    <w:rsid w:val="2DA43BBB"/>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14AFB"/>
    <w:rsid w:val="2E1530A6"/>
    <w:rsid w:val="2E160B5E"/>
    <w:rsid w:val="2E1859B1"/>
    <w:rsid w:val="2E190FE7"/>
    <w:rsid w:val="2E195433"/>
    <w:rsid w:val="2E224612"/>
    <w:rsid w:val="2E232138"/>
    <w:rsid w:val="2E2630D7"/>
    <w:rsid w:val="2E271C28"/>
    <w:rsid w:val="2E275653"/>
    <w:rsid w:val="2E2806DD"/>
    <w:rsid w:val="2E2A4425"/>
    <w:rsid w:val="2E2F3046"/>
    <w:rsid w:val="2E302808"/>
    <w:rsid w:val="2E36630F"/>
    <w:rsid w:val="2E3746AB"/>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279E9"/>
    <w:rsid w:val="2E993370"/>
    <w:rsid w:val="2E9A086A"/>
    <w:rsid w:val="2E9A69ED"/>
    <w:rsid w:val="2E9B22A9"/>
    <w:rsid w:val="2E9F2106"/>
    <w:rsid w:val="2EA049A8"/>
    <w:rsid w:val="2EA23F14"/>
    <w:rsid w:val="2EA26ABE"/>
    <w:rsid w:val="2EA72F10"/>
    <w:rsid w:val="2EA74B75"/>
    <w:rsid w:val="2EB61295"/>
    <w:rsid w:val="2EB6157F"/>
    <w:rsid w:val="2EB941A6"/>
    <w:rsid w:val="2EC414ED"/>
    <w:rsid w:val="2EC71A13"/>
    <w:rsid w:val="2EC722DC"/>
    <w:rsid w:val="2EC9437A"/>
    <w:rsid w:val="2ED20B55"/>
    <w:rsid w:val="2ED67E68"/>
    <w:rsid w:val="2EDC714E"/>
    <w:rsid w:val="2EE32E87"/>
    <w:rsid w:val="2EE56E25"/>
    <w:rsid w:val="2EEA307E"/>
    <w:rsid w:val="2EEF6737"/>
    <w:rsid w:val="2EF064BE"/>
    <w:rsid w:val="2EF276DC"/>
    <w:rsid w:val="2EF51D26"/>
    <w:rsid w:val="2EF53C20"/>
    <w:rsid w:val="2EFA10EB"/>
    <w:rsid w:val="2EFC5DDD"/>
    <w:rsid w:val="2EFF6701"/>
    <w:rsid w:val="2F002CCF"/>
    <w:rsid w:val="2F0160A3"/>
    <w:rsid w:val="2F083808"/>
    <w:rsid w:val="2F1228D8"/>
    <w:rsid w:val="2F18561C"/>
    <w:rsid w:val="2F1A491A"/>
    <w:rsid w:val="2F1C3DF5"/>
    <w:rsid w:val="2F212728"/>
    <w:rsid w:val="2F263B51"/>
    <w:rsid w:val="2F284812"/>
    <w:rsid w:val="2F2960CC"/>
    <w:rsid w:val="2F2F3D52"/>
    <w:rsid w:val="2F3445FD"/>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21FAC"/>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F558E"/>
    <w:rsid w:val="3065119A"/>
    <w:rsid w:val="306A678C"/>
    <w:rsid w:val="306B4848"/>
    <w:rsid w:val="30752E77"/>
    <w:rsid w:val="3079550C"/>
    <w:rsid w:val="308018A6"/>
    <w:rsid w:val="30804E19"/>
    <w:rsid w:val="30837B23"/>
    <w:rsid w:val="30896BCA"/>
    <w:rsid w:val="3090288F"/>
    <w:rsid w:val="309219BB"/>
    <w:rsid w:val="30921E98"/>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15055"/>
    <w:rsid w:val="312723F9"/>
    <w:rsid w:val="312D0545"/>
    <w:rsid w:val="312D1F98"/>
    <w:rsid w:val="312D6C79"/>
    <w:rsid w:val="3136546A"/>
    <w:rsid w:val="313A7B85"/>
    <w:rsid w:val="313E22A6"/>
    <w:rsid w:val="31412F85"/>
    <w:rsid w:val="31454E97"/>
    <w:rsid w:val="31464ABB"/>
    <w:rsid w:val="314A019C"/>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E28A4"/>
    <w:rsid w:val="31BE79F2"/>
    <w:rsid w:val="31C363A1"/>
    <w:rsid w:val="31CA5CF8"/>
    <w:rsid w:val="31CB26CD"/>
    <w:rsid w:val="31CF2CD1"/>
    <w:rsid w:val="31CF4AB1"/>
    <w:rsid w:val="31D06A52"/>
    <w:rsid w:val="31D216CC"/>
    <w:rsid w:val="31D22092"/>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66D7"/>
    <w:rsid w:val="330244A4"/>
    <w:rsid w:val="3304026E"/>
    <w:rsid w:val="33066388"/>
    <w:rsid w:val="330B1B3D"/>
    <w:rsid w:val="330C174B"/>
    <w:rsid w:val="330F1E44"/>
    <w:rsid w:val="331747E7"/>
    <w:rsid w:val="331A7FAD"/>
    <w:rsid w:val="331B37C6"/>
    <w:rsid w:val="331C390F"/>
    <w:rsid w:val="331C454D"/>
    <w:rsid w:val="3320382D"/>
    <w:rsid w:val="33222F7E"/>
    <w:rsid w:val="33231C09"/>
    <w:rsid w:val="332A151B"/>
    <w:rsid w:val="332D624D"/>
    <w:rsid w:val="332E0E93"/>
    <w:rsid w:val="33384FDF"/>
    <w:rsid w:val="333A0536"/>
    <w:rsid w:val="333E0FE1"/>
    <w:rsid w:val="333F0B89"/>
    <w:rsid w:val="333F4C47"/>
    <w:rsid w:val="333F6941"/>
    <w:rsid w:val="33444CAD"/>
    <w:rsid w:val="334A4431"/>
    <w:rsid w:val="334D7767"/>
    <w:rsid w:val="33524AB4"/>
    <w:rsid w:val="33555EB3"/>
    <w:rsid w:val="335C246D"/>
    <w:rsid w:val="33610DDA"/>
    <w:rsid w:val="3362171F"/>
    <w:rsid w:val="3366319E"/>
    <w:rsid w:val="336A11D9"/>
    <w:rsid w:val="336C2B69"/>
    <w:rsid w:val="336F5120"/>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34CB4"/>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A2C62"/>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F4D43"/>
    <w:rsid w:val="3640112F"/>
    <w:rsid w:val="36407BF2"/>
    <w:rsid w:val="364517E5"/>
    <w:rsid w:val="36486576"/>
    <w:rsid w:val="364A08D8"/>
    <w:rsid w:val="364B2312"/>
    <w:rsid w:val="364C4922"/>
    <w:rsid w:val="364F3704"/>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3608"/>
    <w:rsid w:val="37357964"/>
    <w:rsid w:val="373757CA"/>
    <w:rsid w:val="373B5161"/>
    <w:rsid w:val="373C4996"/>
    <w:rsid w:val="373D6F58"/>
    <w:rsid w:val="37446333"/>
    <w:rsid w:val="37446A77"/>
    <w:rsid w:val="374D0B20"/>
    <w:rsid w:val="37503F9E"/>
    <w:rsid w:val="37531CE0"/>
    <w:rsid w:val="37557969"/>
    <w:rsid w:val="375836DC"/>
    <w:rsid w:val="375D4473"/>
    <w:rsid w:val="37607F59"/>
    <w:rsid w:val="37615F3C"/>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8362D"/>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74E65"/>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E49CA"/>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F184F"/>
    <w:rsid w:val="392B6A4C"/>
    <w:rsid w:val="393232FB"/>
    <w:rsid w:val="393544DD"/>
    <w:rsid w:val="393962EC"/>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B747A8"/>
    <w:rsid w:val="39B76556"/>
    <w:rsid w:val="39BB78F7"/>
    <w:rsid w:val="39BC428E"/>
    <w:rsid w:val="39BF2BB7"/>
    <w:rsid w:val="39C46549"/>
    <w:rsid w:val="39C46AF6"/>
    <w:rsid w:val="39CA1A60"/>
    <w:rsid w:val="39CB2D0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D2FB3"/>
    <w:rsid w:val="3A026596"/>
    <w:rsid w:val="3A082ABE"/>
    <w:rsid w:val="3A0A6393"/>
    <w:rsid w:val="3A0E18F6"/>
    <w:rsid w:val="3A0E766B"/>
    <w:rsid w:val="3A181AC2"/>
    <w:rsid w:val="3A1A155D"/>
    <w:rsid w:val="3A1A5D0A"/>
    <w:rsid w:val="3A237175"/>
    <w:rsid w:val="3A257964"/>
    <w:rsid w:val="3A264A9F"/>
    <w:rsid w:val="3A2B0D2F"/>
    <w:rsid w:val="3A2B2AA6"/>
    <w:rsid w:val="3A2D4A6A"/>
    <w:rsid w:val="3A2E67B0"/>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B58"/>
    <w:rsid w:val="3A916A1A"/>
    <w:rsid w:val="3A971EE4"/>
    <w:rsid w:val="3A971F5B"/>
    <w:rsid w:val="3A9A224E"/>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EA295B"/>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5CA4"/>
    <w:rsid w:val="3B2356A8"/>
    <w:rsid w:val="3B247C1B"/>
    <w:rsid w:val="3B2806D1"/>
    <w:rsid w:val="3B283760"/>
    <w:rsid w:val="3B2908B6"/>
    <w:rsid w:val="3B2D161A"/>
    <w:rsid w:val="3B2F1534"/>
    <w:rsid w:val="3B3A132E"/>
    <w:rsid w:val="3B456D7F"/>
    <w:rsid w:val="3B4A51A8"/>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1375"/>
    <w:rsid w:val="3BE6675A"/>
    <w:rsid w:val="3BE745F7"/>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978B0"/>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D46DF"/>
    <w:rsid w:val="3D0F1231"/>
    <w:rsid w:val="3D130342"/>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DFC1B15"/>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871AF"/>
    <w:rsid w:val="3F206E95"/>
    <w:rsid w:val="3F217DD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361F5"/>
    <w:rsid w:val="3F555F0F"/>
    <w:rsid w:val="3F556849"/>
    <w:rsid w:val="3F556D23"/>
    <w:rsid w:val="3F5A4F9D"/>
    <w:rsid w:val="3F673021"/>
    <w:rsid w:val="3F696545"/>
    <w:rsid w:val="3F6B3632"/>
    <w:rsid w:val="3F72005B"/>
    <w:rsid w:val="3F742249"/>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451AA"/>
    <w:rsid w:val="3FB77F5A"/>
    <w:rsid w:val="3FB928FC"/>
    <w:rsid w:val="3FBB3264"/>
    <w:rsid w:val="3FBB4BEF"/>
    <w:rsid w:val="3FBC1816"/>
    <w:rsid w:val="3FBE30B8"/>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73561"/>
    <w:rsid w:val="400A1CFC"/>
    <w:rsid w:val="400C112B"/>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D59F2"/>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84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BD4926"/>
    <w:rsid w:val="41C06F9B"/>
    <w:rsid w:val="41C20F3F"/>
    <w:rsid w:val="41CF504E"/>
    <w:rsid w:val="41D1580B"/>
    <w:rsid w:val="41D57639"/>
    <w:rsid w:val="41D6060E"/>
    <w:rsid w:val="41DA54D8"/>
    <w:rsid w:val="41DC5EDF"/>
    <w:rsid w:val="41DD05DE"/>
    <w:rsid w:val="41E4117E"/>
    <w:rsid w:val="41E41803"/>
    <w:rsid w:val="41E52CA5"/>
    <w:rsid w:val="41E56974"/>
    <w:rsid w:val="41E6368B"/>
    <w:rsid w:val="41E83EF6"/>
    <w:rsid w:val="41EA4FEF"/>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608D6"/>
    <w:rsid w:val="42571AE1"/>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DE0B83"/>
    <w:rsid w:val="43E03B8F"/>
    <w:rsid w:val="43E21F58"/>
    <w:rsid w:val="43E35EF0"/>
    <w:rsid w:val="43EB1944"/>
    <w:rsid w:val="43F71BCF"/>
    <w:rsid w:val="43F76F69"/>
    <w:rsid w:val="43F90FED"/>
    <w:rsid w:val="43F9776B"/>
    <w:rsid w:val="43FC0DB2"/>
    <w:rsid w:val="44022AC4"/>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100B70"/>
    <w:rsid w:val="451C5E9C"/>
    <w:rsid w:val="451E56DB"/>
    <w:rsid w:val="45214561"/>
    <w:rsid w:val="45216F7A"/>
    <w:rsid w:val="452C5F0A"/>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2103"/>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65246"/>
    <w:rsid w:val="463B1763"/>
    <w:rsid w:val="463E1C6A"/>
    <w:rsid w:val="46413001"/>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D1D17"/>
    <w:rsid w:val="46E1018C"/>
    <w:rsid w:val="46E53AB0"/>
    <w:rsid w:val="46E6039D"/>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4139C"/>
    <w:rsid w:val="47143F5A"/>
    <w:rsid w:val="471563E1"/>
    <w:rsid w:val="47167658"/>
    <w:rsid w:val="47167C67"/>
    <w:rsid w:val="47170634"/>
    <w:rsid w:val="472D60AA"/>
    <w:rsid w:val="47333B1B"/>
    <w:rsid w:val="47333DBE"/>
    <w:rsid w:val="47341BB2"/>
    <w:rsid w:val="47351654"/>
    <w:rsid w:val="473D0BD8"/>
    <w:rsid w:val="47457188"/>
    <w:rsid w:val="47462CC7"/>
    <w:rsid w:val="474844A2"/>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44BED"/>
    <w:rsid w:val="47B77348"/>
    <w:rsid w:val="47BC3466"/>
    <w:rsid w:val="47BF5FB3"/>
    <w:rsid w:val="47C34AD0"/>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82E4D"/>
    <w:rsid w:val="480B1862"/>
    <w:rsid w:val="480B57A8"/>
    <w:rsid w:val="480B749D"/>
    <w:rsid w:val="480B7A59"/>
    <w:rsid w:val="48111DC2"/>
    <w:rsid w:val="481132D5"/>
    <w:rsid w:val="48156BFB"/>
    <w:rsid w:val="481B5A1B"/>
    <w:rsid w:val="481E5F8D"/>
    <w:rsid w:val="48204877"/>
    <w:rsid w:val="482B39B5"/>
    <w:rsid w:val="482D1B49"/>
    <w:rsid w:val="482D2279"/>
    <w:rsid w:val="482D350F"/>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C1940"/>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C2FFE"/>
    <w:rsid w:val="48AF255D"/>
    <w:rsid w:val="48B16C29"/>
    <w:rsid w:val="48B305F1"/>
    <w:rsid w:val="48B32B26"/>
    <w:rsid w:val="48B44D6B"/>
    <w:rsid w:val="48B470F8"/>
    <w:rsid w:val="48B60321"/>
    <w:rsid w:val="48B75AB4"/>
    <w:rsid w:val="48B75CD0"/>
    <w:rsid w:val="48B77B8A"/>
    <w:rsid w:val="48C17F25"/>
    <w:rsid w:val="48C21039"/>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D93C20"/>
    <w:rsid w:val="49DA3FD3"/>
    <w:rsid w:val="49DA7AB7"/>
    <w:rsid w:val="49E028D9"/>
    <w:rsid w:val="49E353F8"/>
    <w:rsid w:val="49E46DD1"/>
    <w:rsid w:val="49E73A41"/>
    <w:rsid w:val="49E95933"/>
    <w:rsid w:val="49EC3FFA"/>
    <w:rsid w:val="49EF7DBB"/>
    <w:rsid w:val="49F7729C"/>
    <w:rsid w:val="49FA57FE"/>
    <w:rsid w:val="49FA5FEB"/>
    <w:rsid w:val="49FE5ADB"/>
    <w:rsid w:val="4A0238A8"/>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A176A"/>
    <w:rsid w:val="4A5370A6"/>
    <w:rsid w:val="4A5558E9"/>
    <w:rsid w:val="4A5971B6"/>
    <w:rsid w:val="4A5B4CDC"/>
    <w:rsid w:val="4A5C4447"/>
    <w:rsid w:val="4A5C6983"/>
    <w:rsid w:val="4A5F63D6"/>
    <w:rsid w:val="4A643FBD"/>
    <w:rsid w:val="4A652ED9"/>
    <w:rsid w:val="4A6C0FC7"/>
    <w:rsid w:val="4A6D7FF3"/>
    <w:rsid w:val="4A702F34"/>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840CB"/>
    <w:rsid w:val="4C285091"/>
    <w:rsid w:val="4C312ECF"/>
    <w:rsid w:val="4C3D70F7"/>
    <w:rsid w:val="4C422CA7"/>
    <w:rsid w:val="4C427C5C"/>
    <w:rsid w:val="4C5035A1"/>
    <w:rsid w:val="4C545E87"/>
    <w:rsid w:val="4C5F0B5D"/>
    <w:rsid w:val="4C606F33"/>
    <w:rsid w:val="4C6426ED"/>
    <w:rsid w:val="4C64471A"/>
    <w:rsid w:val="4C684E2F"/>
    <w:rsid w:val="4C6A2DC7"/>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C6201"/>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776ED"/>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1561BE"/>
    <w:rsid w:val="4E176DF3"/>
    <w:rsid w:val="4E1A2F68"/>
    <w:rsid w:val="4E1E7D0E"/>
    <w:rsid w:val="4E210A5C"/>
    <w:rsid w:val="4E2C6A36"/>
    <w:rsid w:val="4E342F40"/>
    <w:rsid w:val="4E3917D8"/>
    <w:rsid w:val="4E3A2C21"/>
    <w:rsid w:val="4E412A4D"/>
    <w:rsid w:val="4E4475F5"/>
    <w:rsid w:val="4E4A4A72"/>
    <w:rsid w:val="4E4D2928"/>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DC1A4F"/>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C3A1A"/>
    <w:rsid w:val="4F1D1400"/>
    <w:rsid w:val="4F1D1653"/>
    <w:rsid w:val="4F2064F4"/>
    <w:rsid w:val="4F2935FA"/>
    <w:rsid w:val="4F2C365D"/>
    <w:rsid w:val="4F311488"/>
    <w:rsid w:val="4F36758C"/>
    <w:rsid w:val="4F376D93"/>
    <w:rsid w:val="4F3957DF"/>
    <w:rsid w:val="4F3A5808"/>
    <w:rsid w:val="4F3B6ACF"/>
    <w:rsid w:val="4F3D4163"/>
    <w:rsid w:val="4F4026F2"/>
    <w:rsid w:val="4F493C9D"/>
    <w:rsid w:val="4F50208E"/>
    <w:rsid w:val="4F506DD9"/>
    <w:rsid w:val="4F560A53"/>
    <w:rsid w:val="4F5A7C58"/>
    <w:rsid w:val="4F5D25C0"/>
    <w:rsid w:val="4F611147"/>
    <w:rsid w:val="4F6E6F86"/>
    <w:rsid w:val="4F7278C6"/>
    <w:rsid w:val="4F764CC2"/>
    <w:rsid w:val="4F7A3E56"/>
    <w:rsid w:val="4F823D55"/>
    <w:rsid w:val="4F8343AE"/>
    <w:rsid w:val="4F85034E"/>
    <w:rsid w:val="4F876573"/>
    <w:rsid w:val="4F8847C5"/>
    <w:rsid w:val="4F9000F4"/>
    <w:rsid w:val="4F920842"/>
    <w:rsid w:val="4F983E33"/>
    <w:rsid w:val="4F9B5328"/>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11AF9"/>
    <w:rsid w:val="50B139BD"/>
    <w:rsid w:val="50B92297"/>
    <w:rsid w:val="50BB0282"/>
    <w:rsid w:val="50BD1498"/>
    <w:rsid w:val="50BD2394"/>
    <w:rsid w:val="50BE1B1D"/>
    <w:rsid w:val="50BE494F"/>
    <w:rsid w:val="50C2785E"/>
    <w:rsid w:val="50C371C0"/>
    <w:rsid w:val="50C51F05"/>
    <w:rsid w:val="50C65C4E"/>
    <w:rsid w:val="50C65E30"/>
    <w:rsid w:val="50C75F36"/>
    <w:rsid w:val="50CC5D21"/>
    <w:rsid w:val="50CE70F5"/>
    <w:rsid w:val="50D228CF"/>
    <w:rsid w:val="50D650BC"/>
    <w:rsid w:val="50E05F3B"/>
    <w:rsid w:val="50E63519"/>
    <w:rsid w:val="50ED76FB"/>
    <w:rsid w:val="50EF66ED"/>
    <w:rsid w:val="50F00215"/>
    <w:rsid w:val="50F568D9"/>
    <w:rsid w:val="50F639B0"/>
    <w:rsid w:val="50FB2D75"/>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C1E16"/>
    <w:rsid w:val="514E53B9"/>
    <w:rsid w:val="514F0A29"/>
    <w:rsid w:val="514F1F93"/>
    <w:rsid w:val="515361F4"/>
    <w:rsid w:val="515529BB"/>
    <w:rsid w:val="515A64E3"/>
    <w:rsid w:val="515C30A6"/>
    <w:rsid w:val="515C58D1"/>
    <w:rsid w:val="5161698E"/>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9124A"/>
    <w:rsid w:val="519B6306"/>
    <w:rsid w:val="519D2F03"/>
    <w:rsid w:val="519D7EB2"/>
    <w:rsid w:val="51AA27FB"/>
    <w:rsid w:val="51AB0562"/>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75749"/>
    <w:rsid w:val="520A7B89"/>
    <w:rsid w:val="520E648E"/>
    <w:rsid w:val="520F50CF"/>
    <w:rsid w:val="521A656F"/>
    <w:rsid w:val="521C5D43"/>
    <w:rsid w:val="521D1F17"/>
    <w:rsid w:val="521D7ED7"/>
    <w:rsid w:val="5221680B"/>
    <w:rsid w:val="52216835"/>
    <w:rsid w:val="52233879"/>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336C4"/>
    <w:rsid w:val="52B15DE1"/>
    <w:rsid w:val="52B72CCB"/>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42B5A"/>
    <w:rsid w:val="534704F3"/>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C3B2A"/>
    <w:rsid w:val="545D3E4A"/>
    <w:rsid w:val="545D4AAD"/>
    <w:rsid w:val="546649A9"/>
    <w:rsid w:val="546B1EE3"/>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94F38"/>
    <w:rsid w:val="54CB22D7"/>
    <w:rsid w:val="54CC175C"/>
    <w:rsid w:val="54CC47C4"/>
    <w:rsid w:val="54CD258C"/>
    <w:rsid w:val="54CE1B9D"/>
    <w:rsid w:val="54D034B4"/>
    <w:rsid w:val="54D46726"/>
    <w:rsid w:val="54D9517B"/>
    <w:rsid w:val="54DB3A8C"/>
    <w:rsid w:val="54DF688B"/>
    <w:rsid w:val="54E13231"/>
    <w:rsid w:val="54E63D3C"/>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1D31"/>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B07143"/>
    <w:rsid w:val="55B07AA1"/>
    <w:rsid w:val="55B403DD"/>
    <w:rsid w:val="55B50135"/>
    <w:rsid w:val="55B511EE"/>
    <w:rsid w:val="55B654BC"/>
    <w:rsid w:val="55BD4A9D"/>
    <w:rsid w:val="55C0140E"/>
    <w:rsid w:val="55C07EE4"/>
    <w:rsid w:val="55C305A6"/>
    <w:rsid w:val="55C51E8F"/>
    <w:rsid w:val="55C52144"/>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B78C5"/>
    <w:rsid w:val="561F3061"/>
    <w:rsid w:val="5621112A"/>
    <w:rsid w:val="56214A7B"/>
    <w:rsid w:val="562E1F90"/>
    <w:rsid w:val="562F7AA7"/>
    <w:rsid w:val="56343C80"/>
    <w:rsid w:val="56352885"/>
    <w:rsid w:val="56363C1B"/>
    <w:rsid w:val="56365F2D"/>
    <w:rsid w:val="56373380"/>
    <w:rsid w:val="563B616D"/>
    <w:rsid w:val="56436207"/>
    <w:rsid w:val="56456373"/>
    <w:rsid w:val="5655420D"/>
    <w:rsid w:val="565847C5"/>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84B98"/>
    <w:rsid w:val="57292292"/>
    <w:rsid w:val="572C3881"/>
    <w:rsid w:val="572C6176"/>
    <w:rsid w:val="572E4793"/>
    <w:rsid w:val="572E7E52"/>
    <w:rsid w:val="57315E6B"/>
    <w:rsid w:val="573403E6"/>
    <w:rsid w:val="573459F0"/>
    <w:rsid w:val="573B3910"/>
    <w:rsid w:val="573B6464"/>
    <w:rsid w:val="574460A0"/>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C308F"/>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56245"/>
    <w:rsid w:val="58E909DD"/>
    <w:rsid w:val="58EB1C90"/>
    <w:rsid w:val="58EE536D"/>
    <w:rsid w:val="58F57D12"/>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9312B"/>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1215B1"/>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D172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40AF5"/>
    <w:rsid w:val="5C780485"/>
    <w:rsid w:val="5C7A2919"/>
    <w:rsid w:val="5C814A76"/>
    <w:rsid w:val="5C82695D"/>
    <w:rsid w:val="5C84202F"/>
    <w:rsid w:val="5C882B12"/>
    <w:rsid w:val="5C8E7193"/>
    <w:rsid w:val="5C8F19C2"/>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21C10"/>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07ED4"/>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F1411"/>
    <w:rsid w:val="5FBF3440"/>
    <w:rsid w:val="5FC53509"/>
    <w:rsid w:val="5FC573AD"/>
    <w:rsid w:val="5FCC5D9F"/>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A6B30"/>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A0710"/>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25B1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41430"/>
    <w:rsid w:val="61D64F2E"/>
    <w:rsid w:val="61D75E5D"/>
    <w:rsid w:val="61E728F9"/>
    <w:rsid w:val="61EA4E6B"/>
    <w:rsid w:val="61ED6709"/>
    <w:rsid w:val="61F061FA"/>
    <w:rsid w:val="61F3667F"/>
    <w:rsid w:val="61F43F82"/>
    <w:rsid w:val="61F67369"/>
    <w:rsid w:val="61FB110C"/>
    <w:rsid w:val="61FB56BF"/>
    <w:rsid w:val="61FD1294"/>
    <w:rsid w:val="6200643D"/>
    <w:rsid w:val="62047C92"/>
    <w:rsid w:val="620B2B74"/>
    <w:rsid w:val="620F042E"/>
    <w:rsid w:val="6210415F"/>
    <w:rsid w:val="62185165"/>
    <w:rsid w:val="621D66D4"/>
    <w:rsid w:val="62220209"/>
    <w:rsid w:val="622D780A"/>
    <w:rsid w:val="622E2CF4"/>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E157FC"/>
    <w:rsid w:val="62E23D94"/>
    <w:rsid w:val="62E81148"/>
    <w:rsid w:val="62E83A0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3D8"/>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40283"/>
    <w:rsid w:val="64340FCD"/>
    <w:rsid w:val="64377182"/>
    <w:rsid w:val="643B7181"/>
    <w:rsid w:val="643C74D4"/>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0294"/>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86E00"/>
    <w:rsid w:val="649A6134"/>
    <w:rsid w:val="649D2569"/>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403733"/>
    <w:rsid w:val="654066D8"/>
    <w:rsid w:val="65427957"/>
    <w:rsid w:val="65430291"/>
    <w:rsid w:val="654468BF"/>
    <w:rsid w:val="65485D1B"/>
    <w:rsid w:val="65491EA9"/>
    <w:rsid w:val="654D64C6"/>
    <w:rsid w:val="65503BB9"/>
    <w:rsid w:val="65566374"/>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90595E"/>
    <w:rsid w:val="65955D9F"/>
    <w:rsid w:val="65956477"/>
    <w:rsid w:val="65972789"/>
    <w:rsid w:val="659B3C29"/>
    <w:rsid w:val="659C17EE"/>
    <w:rsid w:val="65A110DC"/>
    <w:rsid w:val="65A65E7D"/>
    <w:rsid w:val="65AA2B3B"/>
    <w:rsid w:val="65B408AD"/>
    <w:rsid w:val="65B65064"/>
    <w:rsid w:val="65BC6E17"/>
    <w:rsid w:val="65BD3777"/>
    <w:rsid w:val="65BE5ECC"/>
    <w:rsid w:val="65C4177D"/>
    <w:rsid w:val="65D43869"/>
    <w:rsid w:val="65D64BB3"/>
    <w:rsid w:val="65D70270"/>
    <w:rsid w:val="65DA51F7"/>
    <w:rsid w:val="65DF280D"/>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701F9"/>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6F1DE3"/>
    <w:rsid w:val="66727620"/>
    <w:rsid w:val="66763EED"/>
    <w:rsid w:val="66782A0E"/>
    <w:rsid w:val="667930F9"/>
    <w:rsid w:val="6679372B"/>
    <w:rsid w:val="667B3C56"/>
    <w:rsid w:val="66822EA8"/>
    <w:rsid w:val="668B6CBD"/>
    <w:rsid w:val="66953491"/>
    <w:rsid w:val="66980BF6"/>
    <w:rsid w:val="66983372"/>
    <w:rsid w:val="669C52CA"/>
    <w:rsid w:val="669F3BDF"/>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223341"/>
    <w:rsid w:val="6726232E"/>
    <w:rsid w:val="67283D40"/>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861F9"/>
    <w:rsid w:val="67C149C0"/>
    <w:rsid w:val="67C717AB"/>
    <w:rsid w:val="67C73559"/>
    <w:rsid w:val="67C7427D"/>
    <w:rsid w:val="67CA7967"/>
    <w:rsid w:val="67CC38C5"/>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5F638F"/>
    <w:rsid w:val="68650339"/>
    <w:rsid w:val="68651915"/>
    <w:rsid w:val="68670AE1"/>
    <w:rsid w:val="686D4100"/>
    <w:rsid w:val="68733F18"/>
    <w:rsid w:val="687442EE"/>
    <w:rsid w:val="68772A56"/>
    <w:rsid w:val="687975D8"/>
    <w:rsid w:val="687C7996"/>
    <w:rsid w:val="687E1768"/>
    <w:rsid w:val="68873690"/>
    <w:rsid w:val="68931D28"/>
    <w:rsid w:val="689478DF"/>
    <w:rsid w:val="689B3E14"/>
    <w:rsid w:val="689B7663"/>
    <w:rsid w:val="689C5C1D"/>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0F96"/>
    <w:rsid w:val="693E13B7"/>
    <w:rsid w:val="69421566"/>
    <w:rsid w:val="69430240"/>
    <w:rsid w:val="694420C2"/>
    <w:rsid w:val="694A6D5C"/>
    <w:rsid w:val="694C7D2C"/>
    <w:rsid w:val="694D5CE0"/>
    <w:rsid w:val="695031E1"/>
    <w:rsid w:val="695048C2"/>
    <w:rsid w:val="6951205B"/>
    <w:rsid w:val="6953741D"/>
    <w:rsid w:val="69552B47"/>
    <w:rsid w:val="6956014F"/>
    <w:rsid w:val="695A0B28"/>
    <w:rsid w:val="695B2E74"/>
    <w:rsid w:val="696077C1"/>
    <w:rsid w:val="6961173B"/>
    <w:rsid w:val="696F3842"/>
    <w:rsid w:val="69703140"/>
    <w:rsid w:val="69713E8B"/>
    <w:rsid w:val="69731101"/>
    <w:rsid w:val="6974083C"/>
    <w:rsid w:val="697557BF"/>
    <w:rsid w:val="697D087B"/>
    <w:rsid w:val="69807B1E"/>
    <w:rsid w:val="69826DE6"/>
    <w:rsid w:val="698A0CE2"/>
    <w:rsid w:val="698D012C"/>
    <w:rsid w:val="69992E3D"/>
    <w:rsid w:val="699F40EA"/>
    <w:rsid w:val="69A04061"/>
    <w:rsid w:val="69A43B52"/>
    <w:rsid w:val="69A71B52"/>
    <w:rsid w:val="69A7770D"/>
    <w:rsid w:val="69A966F8"/>
    <w:rsid w:val="69AC0B64"/>
    <w:rsid w:val="69AD48AF"/>
    <w:rsid w:val="69B12712"/>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A6B4B"/>
    <w:rsid w:val="6ABE4FFD"/>
    <w:rsid w:val="6ACA3A8C"/>
    <w:rsid w:val="6ACC53C2"/>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1D25"/>
    <w:rsid w:val="6BDE54AC"/>
    <w:rsid w:val="6BE068F6"/>
    <w:rsid w:val="6BE072B5"/>
    <w:rsid w:val="6BE25969"/>
    <w:rsid w:val="6BE40FB6"/>
    <w:rsid w:val="6BE83743"/>
    <w:rsid w:val="6BEA30F0"/>
    <w:rsid w:val="6BEA3CBA"/>
    <w:rsid w:val="6BEA5C11"/>
    <w:rsid w:val="6BEC52EB"/>
    <w:rsid w:val="6BEE2C86"/>
    <w:rsid w:val="6BEE37AA"/>
    <w:rsid w:val="6BEE5C0E"/>
    <w:rsid w:val="6BF229CE"/>
    <w:rsid w:val="6BF25C39"/>
    <w:rsid w:val="6BF84629"/>
    <w:rsid w:val="6BFC2657"/>
    <w:rsid w:val="6C044D7B"/>
    <w:rsid w:val="6C06150E"/>
    <w:rsid w:val="6C1407B4"/>
    <w:rsid w:val="6C150C0B"/>
    <w:rsid w:val="6C155F31"/>
    <w:rsid w:val="6C206E21"/>
    <w:rsid w:val="6C263A06"/>
    <w:rsid w:val="6C265F77"/>
    <w:rsid w:val="6C3A624E"/>
    <w:rsid w:val="6C3F4795"/>
    <w:rsid w:val="6C431738"/>
    <w:rsid w:val="6C442E2D"/>
    <w:rsid w:val="6C44786E"/>
    <w:rsid w:val="6C4B106D"/>
    <w:rsid w:val="6C505966"/>
    <w:rsid w:val="6C5775A1"/>
    <w:rsid w:val="6C5D04BB"/>
    <w:rsid w:val="6C624A50"/>
    <w:rsid w:val="6C65329A"/>
    <w:rsid w:val="6C663340"/>
    <w:rsid w:val="6C666C3C"/>
    <w:rsid w:val="6C6833E1"/>
    <w:rsid w:val="6C726F5A"/>
    <w:rsid w:val="6C751A38"/>
    <w:rsid w:val="6C7707E9"/>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C818AD"/>
    <w:rsid w:val="6CCF21CC"/>
    <w:rsid w:val="6CD02EB0"/>
    <w:rsid w:val="6CD5604E"/>
    <w:rsid w:val="6CD944B7"/>
    <w:rsid w:val="6CE0612A"/>
    <w:rsid w:val="6CE13383"/>
    <w:rsid w:val="6CE269D3"/>
    <w:rsid w:val="6CEC448A"/>
    <w:rsid w:val="6CED284E"/>
    <w:rsid w:val="6CED3DB2"/>
    <w:rsid w:val="6CEE4A35"/>
    <w:rsid w:val="6CF04EB7"/>
    <w:rsid w:val="6CF17872"/>
    <w:rsid w:val="6CF76712"/>
    <w:rsid w:val="6CFD23D1"/>
    <w:rsid w:val="6D033EFD"/>
    <w:rsid w:val="6D0652BF"/>
    <w:rsid w:val="6D0A7734"/>
    <w:rsid w:val="6D0B0E35"/>
    <w:rsid w:val="6D0D210A"/>
    <w:rsid w:val="6D0D6D19"/>
    <w:rsid w:val="6D0D75B0"/>
    <w:rsid w:val="6D0E578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970A3"/>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B11D7"/>
    <w:rsid w:val="6E0F0D37"/>
    <w:rsid w:val="6E0F320E"/>
    <w:rsid w:val="6E0F33B7"/>
    <w:rsid w:val="6E1058C0"/>
    <w:rsid w:val="6E11120A"/>
    <w:rsid w:val="6E112785"/>
    <w:rsid w:val="6E114B44"/>
    <w:rsid w:val="6E131686"/>
    <w:rsid w:val="6E163C98"/>
    <w:rsid w:val="6E182D60"/>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2607D"/>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A3F4C"/>
    <w:rsid w:val="6F447F07"/>
    <w:rsid w:val="6F4876AF"/>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42A15"/>
    <w:rsid w:val="6F8D5088"/>
    <w:rsid w:val="6F967ACA"/>
    <w:rsid w:val="6F9A4660"/>
    <w:rsid w:val="6F9C5D71"/>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0C22"/>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57314"/>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73CA7"/>
    <w:rsid w:val="70385F59"/>
    <w:rsid w:val="70387A8F"/>
    <w:rsid w:val="703D085C"/>
    <w:rsid w:val="70423736"/>
    <w:rsid w:val="70494AF1"/>
    <w:rsid w:val="704A6916"/>
    <w:rsid w:val="7054528E"/>
    <w:rsid w:val="70555B90"/>
    <w:rsid w:val="705C5D99"/>
    <w:rsid w:val="705E76BE"/>
    <w:rsid w:val="70622071"/>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F04773"/>
    <w:rsid w:val="70F147D7"/>
    <w:rsid w:val="70F84783"/>
    <w:rsid w:val="71017D80"/>
    <w:rsid w:val="71031632"/>
    <w:rsid w:val="71032CDF"/>
    <w:rsid w:val="710500EE"/>
    <w:rsid w:val="710524E2"/>
    <w:rsid w:val="710B03C6"/>
    <w:rsid w:val="710C022E"/>
    <w:rsid w:val="710C1678"/>
    <w:rsid w:val="710C7F92"/>
    <w:rsid w:val="710F2DDC"/>
    <w:rsid w:val="711150F8"/>
    <w:rsid w:val="711604AB"/>
    <w:rsid w:val="711872FF"/>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C7804"/>
    <w:rsid w:val="71A535F8"/>
    <w:rsid w:val="71A5684D"/>
    <w:rsid w:val="71AE2BD5"/>
    <w:rsid w:val="71AF2F66"/>
    <w:rsid w:val="71B06996"/>
    <w:rsid w:val="71B0735B"/>
    <w:rsid w:val="71B31BCF"/>
    <w:rsid w:val="71B40CF8"/>
    <w:rsid w:val="71B52674"/>
    <w:rsid w:val="71BA3B1E"/>
    <w:rsid w:val="71BD004A"/>
    <w:rsid w:val="71C061A0"/>
    <w:rsid w:val="71C2301C"/>
    <w:rsid w:val="71C32FE3"/>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926D8"/>
    <w:rsid w:val="71FC70DF"/>
    <w:rsid w:val="720319CB"/>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30835"/>
    <w:rsid w:val="72444124"/>
    <w:rsid w:val="724A1C04"/>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70D52"/>
    <w:rsid w:val="72EA6B66"/>
    <w:rsid w:val="72F17162"/>
    <w:rsid w:val="72F20CCE"/>
    <w:rsid w:val="72F32F32"/>
    <w:rsid w:val="72F549A9"/>
    <w:rsid w:val="72FB055A"/>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8217D"/>
    <w:rsid w:val="7554481F"/>
    <w:rsid w:val="75594581"/>
    <w:rsid w:val="755A35FA"/>
    <w:rsid w:val="755A5494"/>
    <w:rsid w:val="755D0BC4"/>
    <w:rsid w:val="75625A16"/>
    <w:rsid w:val="7564200E"/>
    <w:rsid w:val="75644ADD"/>
    <w:rsid w:val="75663FD1"/>
    <w:rsid w:val="75677137"/>
    <w:rsid w:val="756773CE"/>
    <w:rsid w:val="75696461"/>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B219A"/>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A62B8"/>
    <w:rsid w:val="77422DC5"/>
    <w:rsid w:val="7743723B"/>
    <w:rsid w:val="77451EB6"/>
    <w:rsid w:val="77490C6C"/>
    <w:rsid w:val="774B3934"/>
    <w:rsid w:val="774D0C35"/>
    <w:rsid w:val="774D47BD"/>
    <w:rsid w:val="7750356B"/>
    <w:rsid w:val="775352E9"/>
    <w:rsid w:val="77551F00"/>
    <w:rsid w:val="7758241F"/>
    <w:rsid w:val="775B4F33"/>
    <w:rsid w:val="775B5A6C"/>
    <w:rsid w:val="77646225"/>
    <w:rsid w:val="77650E66"/>
    <w:rsid w:val="77653866"/>
    <w:rsid w:val="77665075"/>
    <w:rsid w:val="776A53C0"/>
    <w:rsid w:val="776F458B"/>
    <w:rsid w:val="77721E49"/>
    <w:rsid w:val="77787398"/>
    <w:rsid w:val="777B5F51"/>
    <w:rsid w:val="777C2200"/>
    <w:rsid w:val="777D3C34"/>
    <w:rsid w:val="777D53E6"/>
    <w:rsid w:val="777E1FE2"/>
    <w:rsid w:val="777F7D93"/>
    <w:rsid w:val="77805CCF"/>
    <w:rsid w:val="778067C2"/>
    <w:rsid w:val="7782564C"/>
    <w:rsid w:val="77847A56"/>
    <w:rsid w:val="77884DA5"/>
    <w:rsid w:val="778C50BD"/>
    <w:rsid w:val="778C5286"/>
    <w:rsid w:val="778F0D7D"/>
    <w:rsid w:val="778F49BD"/>
    <w:rsid w:val="77903967"/>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D21E05"/>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26A72"/>
    <w:rsid w:val="7813374F"/>
    <w:rsid w:val="781616FD"/>
    <w:rsid w:val="781838FF"/>
    <w:rsid w:val="781A21DD"/>
    <w:rsid w:val="781A5E54"/>
    <w:rsid w:val="781B3886"/>
    <w:rsid w:val="78217844"/>
    <w:rsid w:val="78245D77"/>
    <w:rsid w:val="782466AD"/>
    <w:rsid w:val="78257B40"/>
    <w:rsid w:val="782A738E"/>
    <w:rsid w:val="782F13D2"/>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BF08D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51B05"/>
    <w:rsid w:val="79D62785"/>
    <w:rsid w:val="79D73ACF"/>
    <w:rsid w:val="79DD09BA"/>
    <w:rsid w:val="79DE4E5E"/>
    <w:rsid w:val="79DF1EBA"/>
    <w:rsid w:val="79E07F61"/>
    <w:rsid w:val="79E12ED9"/>
    <w:rsid w:val="79E352FF"/>
    <w:rsid w:val="79E838CA"/>
    <w:rsid w:val="79E9023D"/>
    <w:rsid w:val="79ED6701"/>
    <w:rsid w:val="79EE7E8E"/>
    <w:rsid w:val="79F30A3A"/>
    <w:rsid w:val="79F62F10"/>
    <w:rsid w:val="79F82F36"/>
    <w:rsid w:val="79F934E7"/>
    <w:rsid w:val="79FB2D0B"/>
    <w:rsid w:val="7A027298"/>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4006D3"/>
    <w:rsid w:val="7A401675"/>
    <w:rsid w:val="7A41363F"/>
    <w:rsid w:val="7A4801BB"/>
    <w:rsid w:val="7A485CE1"/>
    <w:rsid w:val="7A48677B"/>
    <w:rsid w:val="7A491EF3"/>
    <w:rsid w:val="7A4D07BA"/>
    <w:rsid w:val="7A523156"/>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E6E72"/>
    <w:rsid w:val="7CCF1812"/>
    <w:rsid w:val="7CD72F9B"/>
    <w:rsid w:val="7CDB38D7"/>
    <w:rsid w:val="7CDF394D"/>
    <w:rsid w:val="7CE014F4"/>
    <w:rsid w:val="7CE146B6"/>
    <w:rsid w:val="7CE65C11"/>
    <w:rsid w:val="7CE70935"/>
    <w:rsid w:val="7CE95686"/>
    <w:rsid w:val="7CED53B8"/>
    <w:rsid w:val="7CEF673A"/>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76F18"/>
    <w:rsid w:val="7D686C63"/>
    <w:rsid w:val="7D69117D"/>
    <w:rsid w:val="7D696CB2"/>
    <w:rsid w:val="7D6B4608"/>
    <w:rsid w:val="7D6F06CE"/>
    <w:rsid w:val="7D781125"/>
    <w:rsid w:val="7D7A555A"/>
    <w:rsid w:val="7D7F5298"/>
    <w:rsid w:val="7D825161"/>
    <w:rsid w:val="7D8362BA"/>
    <w:rsid w:val="7D8835D1"/>
    <w:rsid w:val="7D885FC9"/>
    <w:rsid w:val="7D893A8E"/>
    <w:rsid w:val="7D8B7B11"/>
    <w:rsid w:val="7D8F021D"/>
    <w:rsid w:val="7D8F646F"/>
    <w:rsid w:val="7D972197"/>
    <w:rsid w:val="7D9B4E14"/>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F3943"/>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50E39"/>
    <w:rsid w:val="7F2618F3"/>
    <w:rsid w:val="7F272E03"/>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F2DF8"/>
    <w:rsid w:val="7FB351E6"/>
    <w:rsid w:val="7FB422D4"/>
    <w:rsid w:val="7FBC5447"/>
    <w:rsid w:val="7FC55D23"/>
    <w:rsid w:val="7FCB5E84"/>
    <w:rsid w:val="7FD10FC1"/>
    <w:rsid w:val="7FD277AE"/>
    <w:rsid w:val="7FD34D39"/>
    <w:rsid w:val="7FDA2CD0"/>
    <w:rsid w:val="7FDB769F"/>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4</Pages>
  <Words>425</Words>
  <Characters>2003</Characters>
  <Lines>82</Lines>
  <Paragraphs>23</Paragraphs>
  <TotalTime>0</TotalTime>
  <ScaleCrop>false</ScaleCrop>
  <LinksUpToDate>false</LinksUpToDate>
  <CharactersWithSpaces>2404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2025-11-07T13:58:12Z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